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7ACD" w14:textId="77777777" w:rsidR="00E56EAC" w:rsidRDefault="00E56EAC" w:rsidP="00E56EAC"/>
    <w:p w14:paraId="7853BFE5" w14:textId="77777777" w:rsidR="00E56EAC" w:rsidRDefault="00E56EAC" w:rsidP="00E56EAC"/>
    <w:p w14:paraId="3FF5A196" w14:textId="77777777" w:rsidR="00E56EAC" w:rsidRDefault="00E56EAC" w:rsidP="00E56EAC"/>
    <w:p w14:paraId="4D44D8D3" w14:textId="493088F2" w:rsidR="00E56EAC" w:rsidRDefault="00D3446F" w:rsidP="00E56EAC">
      <w:r>
        <w:rPr>
          <w:noProof/>
        </w:rPr>
        <w:drawing>
          <wp:inline distT="0" distB="0" distL="0" distR="0" wp14:anchorId="66027EA2" wp14:editId="27243C49">
            <wp:extent cx="5727700" cy="1405890"/>
            <wp:effectExtent l="0" t="0" r="0" b="381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Grey on white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405890"/>
                    </a:xfrm>
                    <a:prstGeom prst="rect">
                      <a:avLst/>
                    </a:prstGeom>
                  </pic:spPr>
                </pic:pic>
              </a:graphicData>
            </a:graphic>
          </wp:inline>
        </w:drawing>
      </w:r>
    </w:p>
    <w:p w14:paraId="653EEE9E" w14:textId="34299071" w:rsidR="00E56EAC" w:rsidRDefault="00E56EAC" w:rsidP="00E56EAC"/>
    <w:p w14:paraId="39970350" w14:textId="77777777" w:rsidR="00D3446F" w:rsidRDefault="00D3446F" w:rsidP="00E56EAC"/>
    <w:p w14:paraId="3A5506AE" w14:textId="77777777" w:rsidR="00E56EAC" w:rsidRPr="00E56EAC" w:rsidRDefault="00E56EAC" w:rsidP="00E56EAC">
      <w:pPr>
        <w:pStyle w:val="Heading11"/>
      </w:pPr>
      <w:r w:rsidRPr="00E56EAC">
        <w:t>Centralised Retirement Proposition</w:t>
      </w:r>
    </w:p>
    <w:p w14:paraId="538B3B98" w14:textId="583EF00D" w:rsidR="009A326C" w:rsidRPr="009A326C" w:rsidRDefault="009A326C" w:rsidP="009A326C">
      <w:pPr>
        <w:jc w:val="center"/>
        <w:rPr>
          <w:sz w:val="48"/>
          <w:szCs w:val="48"/>
          <w:lang w:eastAsia="en-GB"/>
        </w:rPr>
      </w:pPr>
      <w:r w:rsidRPr="009A326C">
        <w:rPr>
          <w:sz w:val="48"/>
          <w:szCs w:val="48"/>
          <w:lang w:eastAsia="en-GB"/>
        </w:rPr>
        <w:t>May 2020</w:t>
      </w:r>
    </w:p>
    <w:p w14:paraId="018C0D20" w14:textId="77777777" w:rsidR="009A326C" w:rsidRDefault="009A326C" w:rsidP="009A326C">
      <w:pPr>
        <w:jc w:val="center"/>
        <w:rPr>
          <w:lang w:eastAsia="en-GB"/>
        </w:rPr>
      </w:pPr>
    </w:p>
    <w:p w14:paraId="49B088FE" w14:textId="77777777" w:rsidR="00E56EAC" w:rsidRPr="00CA2F0A" w:rsidRDefault="00E56EAC" w:rsidP="00E56EAC">
      <w:pPr>
        <w:jc w:val="center"/>
        <w:rPr>
          <w:sz w:val="28"/>
          <w:szCs w:val="28"/>
        </w:rPr>
      </w:pPr>
      <w:r w:rsidRPr="00CA2F0A">
        <w:rPr>
          <w:sz w:val="28"/>
          <w:szCs w:val="28"/>
        </w:rPr>
        <w:t xml:space="preserve">This document </w:t>
      </w:r>
      <w:r>
        <w:rPr>
          <w:sz w:val="28"/>
          <w:szCs w:val="28"/>
        </w:rPr>
        <w:t xml:space="preserve">provides a structured, governed approach to investing in retirement. </w:t>
      </w:r>
    </w:p>
    <w:p w14:paraId="14844F6B" w14:textId="77777777" w:rsidR="00E56EAC" w:rsidRDefault="00E56EAC" w:rsidP="00E56EAC">
      <w:pPr>
        <w:rPr>
          <w:lang w:eastAsia="en-GB"/>
        </w:rPr>
      </w:pPr>
    </w:p>
    <w:p w14:paraId="32E778DD" w14:textId="77777777" w:rsidR="00E56EAC" w:rsidRPr="00E5286C" w:rsidRDefault="00E56EAC" w:rsidP="00E56EAC">
      <w:pPr>
        <w:jc w:val="center"/>
        <w:rPr>
          <w:color w:val="FF0000"/>
          <w:sz w:val="36"/>
          <w:szCs w:val="36"/>
        </w:rPr>
      </w:pPr>
    </w:p>
    <w:p w14:paraId="75148A94" w14:textId="77777777" w:rsidR="00E56EAC" w:rsidRDefault="00E56EAC">
      <w:pPr>
        <w:rPr>
          <w:b/>
          <w:bCs/>
          <w:u w:val="single"/>
        </w:rPr>
        <w:sectPr w:rsidR="00E56EAC" w:rsidSect="007A0136">
          <w:pgSz w:w="11900" w:h="16840"/>
          <w:pgMar w:top="1440" w:right="1440" w:bottom="1440" w:left="1440" w:header="708" w:footer="708" w:gutter="0"/>
          <w:cols w:space="708"/>
          <w:docGrid w:linePitch="360"/>
        </w:sectPr>
      </w:pPr>
    </w:p>
    <w:p w14:paraId="301536DE" w14:textId="77777777" w:rsidR="00F64320" w:rsidRPr="00F64320" w:rsidRDefault="00E56EAC" w:rsidP="00E56EAC">
      <w:pPr>
        <w:pStyle w:val="Heading1"/>
      </w:pPr>
      <w:r>
        <w:lastRenderedPageBreak/>
        <w:t>Introduction</w:t>
      </w:r>
    </w:p>
    <w:p w14:paraId="38E6BA17" w14:textId="77777777" w:rsidR="00F64320" w:rsidRDefault="00F64320" w:rsidP="00F64320">
      <w:r>
        <w:t xml:space="preserve">This document provides a </w:t>
      </w:r>
      <w:r w:rsidRPr="00F64320">
        <w:t xml:space="preserve">structured, governed approach to investing </w:t>
      </w:r>
      <w:r>
        <w:t xml:space="preserve">for clients </w:t>
      </w:r>
      <w:r w:rsidRPr="00F64320">
        <w:t>in retirement – a Centralised Retirement Proposition</w:t>
      </w:r>
      <w:r>
        <w:t>.</w:t>
      </w:r>
    </w:p>
    <w:p w14:paraId="067DDD39" w14:textId="77777777" w:rsidR="00F64320" w:rsidRDefault="00F64320" w:rsidP="00F64320">
      <w:r w:rsidRPr="00F64320">
        <w:t>The FCA has stated that when advice firms introduce CIPs they should… ‘Consider the needs and objectives of your target clients when designing or adopting a CIP’. It’s clear from this that a CIP (and therefore the retirement income equivalent) is broader than simply selecting an investment</w:t>
      </w:r>
      <w:r w:rsidR="00097A93">
        <w:t xml:space="preserve"> portfolio</w:t>
      </w:r>
      <w:r w:rsidRPr="00F64320">
        <w:t>.</w:t>
      </w:r>
    </w:p>
    <w:p w14:paraId="259C9785" w14:textId="77777777" w:rsidR="00F64320" w:rsidRDefault="00F64320" w:rsidP="00F64320">
      <w:r>
        <w:rPr>
          <w:noProof/>
        </w:rPr>
        <w:drawing>
          <wp:inline distT="0" distB="0" distL="0" distR="0" wp14:anchorId="4243C55C" wp14:editId="3CF73FBA">
            <wp:extent cx="5727700" cy="2927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10-28 12.44.04.png"/>
                    <pic:cNvPicPr/>
                  </pic:nvPicPr>
                  <pic:blipFill>
                    <a:blip r:embed="rId9">
                      <a:extLst>
                        <a:ext uri="{28A0092B-C50C-407E-A947-70E740481C1C}">
                          <a14:useLocalDpi xmlns:a14="http://schemas.microsoft.com/office/drawing/2010/main" val="0"/>
                        </a:ext>
                      </a:extLst>
                    </a:blip>
                    <a:stretch>
                      <a:fillRect/>
                    </a:stretch>
                  </pic:blipFill>
                  <pic:spPr>
                    <a:xfrm>
                      <a:off x="0" y="0"/>
                      <a:ext cx="5727700" cy="2927350"/>
                    </a:xfrm>
                    <a:prstGeom prst="rect">
                      <a:avLst/>
                    </a:prstGeom>
                  </pic:spPr>
                </pic:pic>
              </a:graphicData>
            </a:graphic>
          </wp:inline>
        </w:drawing>
      </w:r>
    </w:p>
    <w:p w14:paraId="036D8B8F" w14:textId="77777777" w:rsidR="00F64320" w:rsidRDefault="00F64320" w:rsidP="00F64320">
      <w:r w:rsidRPr="00F64320">
        <w:t xml:space="preserve">A CRP shares the same values and objectives as a CIP, but deals with more complex decisions, and risks, as the clients move from building wealth to generating a sustainable </w:t>
      </w:r>
      <w:r w:rsidR="00097A93">
        <w:t>income in retirement</w:t>
      </w:r>
      <w:r w:rsidRPr="00F64320">
        <w:t>.</w:t>
      </w:r>
    </w:p>
    <w:p w14:paraId="1C8F8FF1" w14:textId="77777777" w:rsidR="00D4553C" w:rsidRDefault="00D4553C" w:rsidP="00F64320">
      <w:r>
        <w:t xml:space="preserve">The aim of this document is to </w:t>
      </w:r>
      <w:r w:rsidRPr="00D4553C">
        <w:t xml:space="preserve">create a structured investment advice process </w:t>
      </w:r>
      <w:r>
        <w:t xml:space="preserve">for retirement </w:t>
      </w:r>
      <w:r w:rsidRPr="00D4553C">
        <w:t>that aims to be consistent, repeatable and deliver suitable outcomes for different client segments.</w:t>
      </w:r>
    </w:p>
    <w:p w14:paraId="4A91E3B9" w14:textId="77777777" w:rsidR="00952F7B" w:rsidRDefault="00952F7B" w:rsidP="00F64320"/>
    <w:p w14:paraId="59D9FB82" w14:textId="77777777" w:rsidR="00E56EAC" w:rsidRDefault="00E56EAC" w:rsidP="00F64320">
      <w:pPr>
        <w:rPr>
          <w:b/>
          <w:bCs/>
          <w:u w:val="single"/>
        </w:rPr>
        <w:sectPr w:rsidR="00E56EAC" w:rsidSect="007A0136">
          <w:pgSz w:w="11900" w:h="16840"/>
          <w:pgMar w:top="1440" w:right="1440" w:bottom="1440" w:left="1440" w:header="708" w:footer="708" w:gutter="0"/>
          <w:cols w:space="708"/>
          <w:docGrid w:linePitch="360"/>
        </w:sectPr>
      </w:pPr>
    </w:p>
    <w:p w14:paraId="1A92991F" w14:textId="77777777" w:rsidR="00952F7B" w:rsidRDefault="00615FC0" w:rsidP="00E56EAC">
      <w:pPr>
        <w:pStyle w:val="Heading1"/>
      </w:pPr>
      <w:r>
        <w:lastRenderedPageBreak/>
        <w:t>Centralised Retirement Proposition Process</w:t>
      </w:r>
    </w:p>
    <w:p w14:paraId="05090D83" w14:textId="77777777" w:rsidR="00952F7B" w:rsidRDefault="00952F7B" w:rsidP="00F64320">
      <w:r>
        <w:t>In addition to the client fact find, clients approaching or in retirement will go through the following process:</w:t>
      </w:r>
    </w:p>
    <w:p w14:paraId="4758067F" w14:textId="77777777" w:rsidR="00952F7B" w:rsidRDefault="00952F7B" w:rsidP="00E56EAC">
      <w:pPr>
        <w:numPr>
          <w:ilvl w:val="0"/>
          <w:numId w:val="33"/>
        </w:numPr>
      </w:pPr>
      <w:r>
        <w:t>Client Objectives</w:t>
      </w:r>
    </w:p>
    <w:p w14:paraId="16FE20EA" w14:textId="77777777" w:rsidR="00952F7B" w:rsidRDefault="00952F7B" w:rsidP="00E56EAC">
      <w:pPr>
        <w:numPr>
          <w:ilvl w:val="0"/>
          <w:numId w:val="33"/>
        </w:numPr>
      </w:pPr>
      <w:r>
        <w:t>Risk Assessment</w:t>
      </w:r>
    </w:p>
    <w:p w14:paraId="2E415E44" w14:textId="77777777" w:rsidR="00952F7B" w:rsidRDefault="00952F7B" w:rsidP="00E56EAC">
      <w:pPr>
        <w:numPr>
          <w:ilvl w:val="0"/>
          <w:numId w:val="33"/>
        </w:numPr>
      </w:pPr>
      <w:r>
        <w:t>Withdrawal Options</w:t>
      </w:r>
    </w:p>
    <w:p w14:paraId="1CCA2575" w14:textId="77777777" w:rsidR="00952F7B" w:rsidRDefault="00952F7B" w:rsidP="00E56EAC">
      <w:pPr>
        <w:numPr>
          <w:ilvl w:val="0"/>
          <w:numId w:val="33"/>
        </w:numPr>
      </w:pPr>
      <w:r>
        <w:t>Investment Strategy</w:t>
      </w:r>
    </w:p>
    <w:p w14:paraId="120BA950" w14:textId="77777777" w:rsidR="00952F7B" w:rsidRDefault="00952F7B" w:rsidP="00E56EAC">
      <w:pPr>
        <w:numPr>
          <w:ilvl w:val="0"/>
          <w:numId w:val="33"/>
        </w:numPr>
      </w:pPr>
      <w:r>
        <w:t>Ongoing Review</w:t>
      </w:r>
    </w:p>
    <w:p w14:paraId="646B1131" w14:textId="77777777" w:rsidR="00952F7B" w:rsidRPr="00E56EAC" w:rsidRDefault="00952F7B" w:rsidP="00E56EAC">
      <w:pPr>
        <w:pStyle w:val="Title"/>
      </w:pPr>
      <w:r>
        <w:t xml:space="preserve">1. </w:t>
      </w:r>
      <w:r w:rsidRPr="00952F7B">
        <w:t>Client Objectives</w:t>
      </w:r>
    </w:p>
    <w:p w14:paraId="7A7F684D" w14:textId="77777777" w:rsidR="00952F7B" w:rsidRDefault="00952F7B" w:rsidP="00E56EAC">
      <w:r>
        <w:t>Key questions to answer include:</w:t>
      </w:r>
    </w:p>
    <w:p w14:paraId="04D15A92" w14:textId="77777777" w:rsidR="00952F7B" w:rsidRDefault="00952F7B" w:rsidP="00E56EAC">
      <w:pPr>
        <w:numPr>
          <w:ilvl w:val="0"/>
          <w:numId w:val="34"/>
        </w:numPr>
      </w:pPr>
      <w:r>
        <w:t>When does the client want to retire?</w:t>
      </w:r>
    </w:p>
    <w:p w14:paraId="6E8C4B9B" w14:textId="77777777" w:rsidR="00952F7B" w:rsidRDefault="00952F7B" w:rsidP="00E56EAC">
      <w:pPr>
        <w:numPr>
          <w:ilvl w:val="0"/>
          <w:numId w:val="34"/>
        </w:numPr>
      </w:pPr>
      <w:r>
        <w:t>What lump sum do they want or need?</w:t>
      </w:r>
    </w:p>
    <w:p w14:paraId="173D7ED5" w14:textId="77777777" w:rsidR="00952F7B" w:rsidRDefault="00952F7B" w:rsidP="00E56EAC">
      <w:pPr>
        <w:numPr>
          <w:ilvl w:val="0"/>
          <w:numId w:val="34"/>
        </w:numPr>
      </w:pPr>
      <w:r>
        <w:t>How much income do they need?</w:t>
      </w:r>
    </w:p>
    <w:p w14:paraId="2D377F3B" w14:textId="77777777" w:rsidR="00952F7B" w:rsidRDefault="00952F7B" w:rsidP="00E56EAC">
      <w:pPr>
        <w:numPr>
          <w:ilvl w:val="0"/>
          <w:numId w:val="34"/>
        </w:numPr>
      </w:pPr>
      <w:r>
        <w:t>Do they want to leave a legacy?</w:t>
      </w:r>
    </w:p>
    <w:p w14:paraId="4518C9B5" w14:textId="77777777" w:rsidR="00952F7B" w:rsidRPr="00E56EAC" w:rsidRDefault="00952F7B" w:rsidP="00E56EAC">
      <w:pPr>
        <w:pStyle w:val="Title"/>
      </w:pPr>
      <w:r w:rsidRPr="00E56EAC">
        <w:t>2. Risk Assessment:</w:t>
      </w:r>
    </w:p>
    <w:p w14:paraId="62FF0556" w14:textId="77777777" w:rsidR="00952F7B" w:rsidRDefault="00952F7B" w:rsidP="00E56EAC">
      <w:r>
        <w:t>Key risks that will need to be addressed include, but are not limited to:</w:t>
      </w:r>
    </w:p>
    <w:p w14:paraId="6C7C9340" w14:textId="77777777" w:rsidR="00D4553C" w:rsidRDefault="00D4553C" w:rsidP="00E56EAC">
      <w:pPr>
        <w:numPr>
          <w:ilvl w:val="0"/>
          <w:numId w:val="35"/>
        </w:numPr>
      </w:pPr>
      <w:r>
        <w:t>Capacity for loss</w:t>
      </w:r>
    </w:p>
    <w:p w14:paraId="0229E462" w14:textId="77777777" w:rsidR="00952F7B" w:rsidRDefault="00952F7B" w:rsidP="00E56EAC">
      <w:pPr>
        <w:numPr>
          <w:ilvl w:val="0"/>
          <w:numId w:val="35"/>
        </w:numPr>
      </w:pPr>
      <w:r>
        <w:t>Longevity risk</w:t>
      </w:r>
    </w:p>
    <w:p w14:paraId="1C2B26E5" w14:textId="77777777" w:rsidR="00952F7B" w:rsidRDefault="00952F7B" w:rsidP="00E56EAC">
      <w:pPr>
        <w:numPr>
          <w:ilvl w:val="0"/>
          <w:numId w:val="35"/>
        </w:numPr>
      </w:pPr>
      <w:r>
        <w:t>Investment risk</w:t>
      </w:r>
    </w:p>
    <w:p w14:paraId="3E7FE7E0" w14:textId="77777777" w:rsidR="00952F7B" w:rsidRDefault="00952F7B" w:rsidP="00E56EAC">
      <w:pPr>
        <w:numPr>
          <w:ilvl w:val="0"/>
          <w:numId w:val="35"/>
        </w:numPr>
      </w:pPr>
      <w:r>
        <w:t>Sequence risk</w:t>
      </w:r>
    </w:p>
    <w:p w14:paraId="4BEF4E32" w14:textId="77777777" w:rsidR="00952F7B" w:rsidRDefault="00952F7B" w:rsidP="00E56EAC">
      <w:pPr>
        <w:numPr>
          <w:ilvl w:val="0"/>
          <w:numId w:val="35"/>
        </w:numPr>
      </w:pPr>
      <w:r>
        <w:t>Pound cost ravaging</w:t>
      </w:r>
    </w:p>
    <w:p w14:paraId="3697BB7E" w14:textId="77777777" w:rsidR="00952F7B" w:rsidRDefault="00952F7B" w:rsidP="00E56EAC">
      <w:pPr>
        <w:numPr>
          <w:ilvl w:val="0"/>
          <w:numId w:val="35"/>
        </w:numPr>
      </w:pPr>
      <w:r>
        <w:t>Mortality risk</w:t>
      </w:r>
    </w:p>
    <w:p w14:paraId="760096C1" w14:textId="77777777" w:rsidR="00952F7B" w:rsidRDefault="00952F7B" w:rsidP="00E56EAC">
      <w:pPr>
        <w:numPr>
          <w:ilvl w:val="0"/>
          <w:numId w:val="35"/>
        </w:numPr>
      </w:pPr>
      <w:r>
        <w:t>Inflation</w:t>
      </w:r>
    </w:p>
    <w:p w14:paraId="0FA45CFB" w14:textId="77777777" w:rsidR="00D4553C" w:rsidRDefault="007171E3" w:rsidP="00E56EAC">
      <w:pPr>
        <w:pStyle w:val="Title"/>
      </w:pPr>
      <w:r>
        <w:t>3. Retirement Income Strategy</w:t>
      </w:r>
    </w:p>
    <w:p w14:paraId="2F8FCE32" w14:textId="77777777" w:rsidR="005C301E" w:rsidRDefault="00D4553C" w:rsidP="00E56EAC">
      <w:r w:rsidRPr="00D4553C">
        <w:t>With the fact find and risk assessment completed, we will assess the relative funding position of the client’s</w:t>
      </w:r>
      <w:r w:rsidR="00E56EAC">
        <w:t xml:space="preserve"> retirement:</w:t>
      </w:r>
    </w:p>
    <w:p w14:paraId="3AE612CE" w14:textId="77777777" w:rsidR="005C301E" w:rsidRDefault="00E56EAC" w:rsidP="00E56EAC">
      <w:pPr>
        <w:numPr>
          <w:ilvl w:val="0"/>
          <w:numId w:val="36"/>
        </w:numPr>
      </w:pPr>
      <w:r>
        <w:t>Where a shortfall exists between</w:t>
      </w:r>
      <w:r w:rsidR="00D4553C" w:rsidRPr="00D4553C">
        <w:t xml:space="preserve"> a client’s secure income and their basic expenditure, we are likely to consider a ‘safety first approach’. This will involve using very low risk investments, such as cash or annuities, to meet the shortfall. </w:t>
      </w:r>
    </w:p>
    <w:p w14:paraId="276C3CFB" w14:textId="77777777" w:rsidR="00E56EAC" w:rsidRDefault="00E56EAC" w:rsidP="00E56EAC">
      <w:pPr>
        <w:numPr>
          <w:ilvl w:val="0"/>
          <w:numId w:val="36"/>
        </w:numPr>
      </w:pPr>
      <w:r>
        <w:t>Once a client’s essential expenditure has been secured, we are likely to consider an investment that has the opportunity for growth, particularly where growth is required to meet discretionary expenditure.</w:t>
      </w:r>
    </w:p>
    <w:p w14:paraId="7E6C4258" w14:textId="77777777" w:rsidR="00D4553C" w:rsidRDefault="00D4553C" w:rsidP="00952F7B">
      <w:r w:rsidRPr="00D4553C">
        <w:t xml:space="preserve">The below </w:t>
      </w:r>
      <w:r w:rsidR="00C86BE3">
        <w:t>picture</w:t>
      </w:r>
      <w:r w:rsidRPr="00D4553C">
        <w:t xml:space="preserve"> provides an illustrative example:</w:t>
      </w:r>
    </w:p>
    <w:p w14:paraId="1A3A3005" w14:textId="77777777" w:rsidR="005C301E" w:rsidRPr="00D4553C" w:rsidRDefault="005C301E" w:rsidP="00952F7B"/>
    <w:p w14:paraId="4550E1A5" w14:textId="77777777" w:rsidR="00952F7B" w:rsidRPr="00952F7B" w:rsidRDefault="005C301E" w:rsidP="00952F7B">
      <w:r>
        <w:rPr>
          <w:noProof/>
        </w:rPr>
        <w:lastRenderedPageBreak/>
        <w:drawing>
          <wp:inline distT="0" distB="0" distL="0" distR="0" wp14:anchorId="74548C39" wp14:editId="6A9455C0">
            <wp:extent cx="5727700" cy="2043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1-08 15.23.52.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2043430"/>
                    </a:xfrm>
                    <a:prstGeom prst="rect">
                      <a:avLst/>
                    </a:prstGeom>
                  </pic:spPr>
                </pic:pic>
              </a:graphicData>
            </a:graphic>
          </wp:inline>
        </w:drawing>
      </w:r>
    </w:p>
    <w:p w14:paraId="4AED48C3" w14:textId="77777777" w:rsidR="007171E3" w:rsidRDefault="00304BDF" w:rsidP="007171E3">
      <w:r>
        <w:t>When arr</w:t>
      </w:r>
      <w:r w:rsidR="007171E3">
        <w:t>anging an income for retirement, we will consider all available options. The below table summarises the main options and outlines when they may be appropriate.</w:t>
      </w:r>
    </w:p>
    <w:tbl>
      <w:tblPr>
        <w:tblW w:w="944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538"/>
        <w:gridCol w:w="4458"/>
        <w:gridCol w:w="3447"/>
      </w:tblGrid>
      <w:tr w:rsidR="007171E3" w14:paraId="3F59B592" w14:textId="77777777" w:rsidTr="00615FC0">
        <w:trPr>
          <w:trHeight w:val="596"/>
        </w:trPr>
        <w:tc>
          <w:tcPr>
            <w:tcW w:w="1410" w:type="dxa"/>
            <w:shd w:val="clear" w:color="auto" w:fill="36384C"/>
            <w:vAlign w:val="center"/>
          </w:tcPr>
          <w:p w14:paraId="0C0D482B" w14:textId="77777777" w:rsidR="007171E3" w:rsidRPr="007171E3" w:rsidRDefault="007171E3" w:rsidP="00E56EAC">
            <w:pPr>
              <w:pStyle w:val="TOCHeading"/>
            </w:pPr>
            <w:r w:rsidRPr="007171E3">
              <w:t>Income Strategy</w:t>
            </w:r>
          </w:p>
        </w:tc>
        <w:tc>
          <w:tcPr>
            <w:tcW w:w="4539" w:type="dxa"/>
            <w:shd w:val="clear" w:color="auto" w:fill="36384C"/>
            <w:vAlign w:val="center"/>
          </w:tcPr>
          <w:p w14:paraId="74965F9A" w14:textId="77777777" w:rsidR="007171E3" w:rsidRPr="007171E3" w:rsidRDefault="00615FC0" w:rsidP="00E56EAC">
            <w:pPr>
              <w:pStyle w:val="TOCHeading"/>
            </w:pPr>
            <w:r>
              <w:t xml:space="preserve">Likely to be used </w:t>
            </w:r>
            <w:r w:rsidR="007171E3" w:rsidRPr="007171E3">
              <w:t>when</w:t>
            </w:r>
          </w:p>
        </w:tc>
        <w:tc>
          <w:tcPr>
            <w:tcW w:w="3494" w:type="dxa"/>
            <w:shd w:val="clear" w:color="auto" w:fill="36384C"/>
            <w:vAlign w:val="center"/>
          </w:tcPr>
          <w:p w14:paraId="47DE89CF" w14:textId="77777777" w:rsidR="007171E3" w:rsidRPr="007171E3" w:rsidRDefault="007171E3" w:rsidP="00E56EAC">
            <w:pPr>
              <w:pStyle w:val="TOCHeading"/>
            </w:pPr>
            <w:r w:rsidRPr="007171E3">
              <w:t>Unlikely to be used when</w:t>
            </w:r>
          </w:p>
        </w:tc>
      </w:tr>
      <w:tr w:rsidR="007171E3" w14:paraId="6ECAFD13" w14:textId="77777777" w:rsidTr="00615FC0">
        <w:trPr>
          <w:trHeight w:val="298"/>
        </w:trPr>
        <w:tc>
          <w:tcPr>
            <w:tcW w:w="1410" w:type="dxa"/>
            <w:vAlign w:val="center"/>
          </w:tcPr>
          <w:p w14:paraId="6F97870A" w14:textId="77777777" w:rsidR="007171E3" w:rsidRPr="00615FC0" w:rsidRDefault="00097A93" w:rsidP="00615FC0">
            <w:pPr>
              <w:jc w:val="left"/>
              <w:rPr>
                <w:b/>
                <w:bCs/>
              </w:rPr>
            </w:pPr>
            <w:r w:rsidRPr="00615FC0">
              <w:rPr>
                <w:b/>
                <w:bCs/>
              </w:rPr>
              <w:t>Tax-free cash withdrawal</w:t>
            </w:r>
          </w:p>
        </w:tc>
        <w:tc>
          <w:tcPr>
            <w:tcW w:w="4539" w:type="dxa"/>
            <w:vAlign w:val="center"/>
          </w:tcPr>
          <w:p w14:paraId="23248525" w14:textId="77777777" w:rsidR="007171E3" w:rsidRDefault="007171E3" w:rsidP="00615FC0">
            <w:pPr>
              <w:pStyle w:val="ListParagraph"/>
            </w:pPr>
            <w:r>
              <w:t xml:space="preserve">The client requires a lump sum and does not have other more tax efficient sources to withdraw the funds from. </w:t>
            </w:r>
          </w:p>
        </w:tc>
        <w:tc>
          <w:tcPr>
            <w:tcW w:w="3494" w:type="dxa"/>
            <w:vAlign w:val="center"/>
          </w:tcPr>
          <w:p w14:paraId="4B148F51" w14:textId="0072A7C1" w:rsidR="007171E3" w:rsidRDefault="00966921" w:rsidP="00615FC0">
            <w:pPr>
              <w:pStyle w:val="ListParagraph"/>
            </w:pPr>
            <w:r>
              <w:t>The client has more tax-efficient sources to meet their funding needs.</w:t>
            </w:r>
          </w:p>
        </w:tc>
      </w:tr>
      <w:tr w:rsidR="007171E3" w14:paraId="24F940DF" w14:textId="77777777" w:rsidTr="00615FC0">
        <w:trPr>
          <w:trHeight w:val="282"/>
        </w:trPr>
        <w:tc>
          <w:tcPr>
            <w:tcW w:w="1410" w:type="dxa"/>
            <w:vAlign w:val="center"/>
          </w:tcPr>
          <w:p w14:paraId="7C5BBC42" w14:textId="77777777" w:rsidR="007171E3" w:rsidRPr="00615FC0" w:rsidRDefault="00097A93" w:rsidP="00615FC0">
            <w:pPr>
              <w:jc w:val="left"/>
              <w:rPr>
                <w:b/>
                <w:bCs/>
              </w:rPr>
            </w:pPr>
            <w:r w:rsidRPr="00615FC0">
              <w:rPr>
                <w:b/>
                <w:bCs/>
              </w:rPr>
              <w:t>Lifetime Annuities</w:t>
            </w:r>
          </w:p>
        </w:tc>
        <w:tc>
          <w:tcPr>
            <w:tcW w:w="4539" w:type="dxa"/>
            <w:vAlign w:val="center"/>
          </w:tcPr>
          <w:p w14:paraId="665221A4" w14:textId="77777777" w:rsidR="007171E3" w:rsidRDefault="007171E3" w:rsidP="00615FC0">
            <w:pPr>
              <w:pStyle w:val="ListParagraph"/>
            </w:pPr>
            <w:r>
              <w:t>The client has no, or very limited capacity for loss and is not willing or able to bear investment risk.</w:t>
            </w:r>
          </w:p>
          <w:p w14:paraId="77E17F8B" w14:textId="77777777" w:rsidR="007171E3" w:rsidRDefault="007171E3" w:rsidP="00615FC0">
            <w:pPr>
              <w:pStyle w:val="ListParagraph"/>
            </w:pPr>
            <w:r>
              <w:t xml:space="preserve">The client requires a secure income to meet their essential expenditure. </w:t>
            </w:r>
          </w:p>
        </w:tc>
        <w:tc>
          <w:tcPr>
            <w:tcW w:w="3494" w:type="dxa"/>
            <w:vAlign w:val="center"/>
          </w:tcPr>
          <w:p w14:paraId="20E6F813" w14:textId="77777777" w:rsidR="007171E3" w:rsidRDefault="007171E3" w:rsidP="00615FC0">
            <w:pPr>
              <w:pStyle w:val="ListParagraph"/>
            </w:pPr>
            <w:r>
              <w:t>The client has a medium or high capacity for loss and is willing and able to bear investment risk.</w:t>
            </w:r>
          </w:p>
          <w:p w14:paraId="57C7BF0D" w14:textId="77777777" w:rsidR="007171E3" w:rsidRDefault="007171E3" w:rsidP="00615FC0">
            <w:pPr>
              <w:pStyle w:val="ListParagraph"/>
            </w:pPr>
            <w:r>
              <w:t>The client already has sufficient secure income to meet their essential expenditure.</w:t>
            </w:r>
          </w:p>
        </w:tc>
      </w:tr>
      <w:tr w:rsidR="007171E3" w14:paraId="445710FD" w14:textId="77777777" w:rsidTr="00615FC0">
        <w:trPr>
          <w:trHeight w:val="282"/>
        </w:trPr>
        <w:tc>
          <w:tcPr>
            <w:tcW w:w="1410" w:type="dxa"/>
            <w:vAlign w:val="center"/>
          </w:tcPr>
          <w:p w14:paraId="093A7B1D" w14:textId="77777777" w:rsidR="007171E3" w:rsidRPr="00615FC0" w:rsidRDefault="00097A93" w:rsidP="00615FC0">
            <w:pPr>
              <w:jc w:val="left"/>
              <w:rPr>
                <w:b/>
                <w:bCs/>
              </w:rPr>
            </w:pPr>
            <w:r w:rsidRPr="00615FC0">
              <w:rPr>
                <w:b/>
                <w:bCs/>
              </w:rPr>
              <w:t>Guaranteed Income Products.</w:t>
            </w:r>
          </w:p>
        </w:tc>
        <w:tc>
          <w:tcPr>
            <w:tcW w:w="4539" w:type="dxa"/>
            <w:vAlign w:val="center"/>
          </w:tcPr>
          <w:p w14:paraId="2391C1AE" w14:textId="77777777" w:rsidR="007171E3" w:rsidRDefault="007171E3" w:rsidP="00615FC0">
            <w:pPr>
              <w:pStyle w:val="ListParagraph"/>
            </w:pPr>
            <w:r>
              <w:t xml:space="preserve">The client has a low capacity for loss and is willing and able to bear some investment risk. </w:t>
            </w:r>
          </w:p>
          <w:p w14:paraId="29C00841" w14:textId="77777777" w:rsidR="007171E3" w:rsidRDefault="007171E3" w:rsidP="00615FC0">
            <w:pPr>
              <w:pStyle w:val="ListParagraph"/>
            </w:pPr>
            <w:r>
              <w:t xml:space="preserve">The client values the guarantee that their capital is protected but wants to have the option of some capital growth </w:t>
            </w:r>
          </w:p>
        </w:tc>
        <w:tc>
          <w:tcPr>
            <w:tcW w:w="3494" w:type="dxa"/>
            <w:vAlign w:val="center"/>
          </w:tcPr>
          <w:p w14:paraId="47096980" w14:textId="77777777" w:rsidR="007171E3" w:rsidRDefault="007171E3" w:rsidP="00615FC0">
            <w:pPr>
              <w:pStyle w:val="ListParagraph"/>
            </w:pPr>
            <w:r>
              <w:t xml:space="preserve">The client is very conscious of costs and wants to keep their investing costs to a minimum </w:t>
            </w:r>
          </w:p>
          <w:p w14:paraId="4F211CB4" w14:textId="77777777" w:rsidR="007171E3" w:rsidRDefault="007171E3" w:rsidP="00615FC0">
            <w:pPr>
              <w:pStyle w:val="ListParagraph"/>
            </w:pPr>
            <w:r>
              <w:t xml:space="preserve">The client has a medium or high capacity for loss and is willing and able to bear investment risk. </w:t>
            </w:r>
          </w:p>
        </w:tc>
      </w:tr>
      <w:tr w:rsidR="007171E3" w14:paraId="5BD96905" w14:textId="77777777" w:rsidTr="00615FC0">
        <w:trPr>
          <w:trHeight w:val="282"/>
        </w:trPr>
        <w:tc>
          <w:tcPr>
            <w:tcW w:w="1410" w:type="dxa"/>
            <w:vAlign w:val="center"/>
          </w:tcPr>
          <w:p w14:paraId="5B338D74" w14:textId="77777777" w:rsidR="007171E3" w:rsidRPr="00615FC0" w:rsidRDefault="007171E3" w:rsidP="00615FC0">
            <w:pPr>
              <w:jc w:val="left"/>
              <w:rPr>
                <w:b/>
                <w:bCs/>
              </w:rPr>
            </w:pPr>
            <w:r w:rsidRPr="00615FC0">
              <w:rPr>
                <w:b/>
                <w:bCs/>
              </w:rPr>
              <w:t xml:space="preserve">Fixed term annuities </w:t>
            </w:r>
          </w:p>
        </w:tc>
        <w:tc>
          <w:tcPr>
            <w:tcW w:w="4539" w:type="dxa"/>
            <w:vAlign w:val="center"/>
          </w:tcPr>
          <w:p w14:paraId="63C68949" w14:textId="77777777" w:rsidR="007171E3" w:rsidRDefault="007171E3" w:rsidP="00615FC0">
            <w:pPr>
              <w:pStyle w:val="ListParagraph"/>
            </w:pPr>
            <w:r>
              <w:t>The client requires a set regular payment over a fixed period of time</w:t>
            </w:r>
          </w:p>
          <w:p w14:paraId="528D8FCF" w14:textId="77777777" w:rsidR="007171E3" w:rsidRDefault="007171E3" w:rsidP="00615FC0">
            <w:pPr>
              <w:pStyle w:val="ListParagraph"/>
            </w:pPr>
            <w:r>
              <w:t>The client wants a fixed maturity value at the end of the plan term</w:t>
            </w:r>
          </w:p>
          <w:p w14:paraId="1BD2CD52" w14:textId="77777777" w:rsidR="007171E3" w:rsidRDefault="007171E3" w:rsidP="00615FC0">
            <w:pPr>
              <w:pStyle w:val="ListParagraph"/>
            </w:pPr>
            <w:r>
              <w:t>The client has no, or very limited capacity for loss and is not willing or able to bear investment risk.</w:t>
            </w:r>
          </w:p>
        </w:tc>
        <w:tc>
          <w:tcPr>
            <w:tcW w:w="3494" w:type="dxa"/>
            <w:vAlign w:val="center"/>
          </w:tcPr>
          <w:p w14:paraId="011B8375" w14:textId="77777777" w:rsidR="007171E3" w:rsidRDefault="007171E3" w:rsidP="00615FC0">
            <w:pPr>
              <w:pStyle w:val="ListParagraph"/>
            </w:pPr>
            <w:r>
              <w:t>The client has a medium or high capacity for loss and is willing and able to bear investment risk.</w:t>
            </w:r>
          </w:p>
          <w:p w14:paraId="178EC99E" w14:textId="77777777" w:rsidR="007171E3" w:rsidRDefault="007171E3" w:rsidP="00615FC0">
            <w:pPr>
              <w:pStyle w:val="ListParagraph"/>
            </w:pPr>
            <w:r>
              <w:t>The client already has sufficient secure income to meet their essential expenditure.</w:t>
            </w:r>
          </w:p>
        </w:tc>
      </w:tr>
      <w:tr w:rsidR="007171E3" w14:paraId="39E29DF4" w14:textId="77777777" w:rsidTr="00615FC0">
        <w:trPr>
          <w:trHeight w:val="282"/>
        </w:trPr>
        <w:tc>
          <w:tcPr>
            <w:tcW w:w="1410" w:type="dxa"/>
            <w:vAlign w:val="center"/>
          </w:tcPr>
          <w:p w14:paraId="3E9EDA1E" w14:textId="77777777" w:rsidR="007171E3" w:rsidRPr="00615FC0" w:rsidRDefault="00097A93" w:rsidP="00615FC0">
            <w:pPr>
              <w:jc w:val="left"/>
              <w:rPr>
                <w:b/>
                <w:bCs/>
              </w:rPr>
            </w:pPr>
            <w:r w:rsidRPr="00615FC0">
              <w:rPr>
                <w:b/>
                <w:bCs/>
              </w:rPr>
              <w:lastRenderedPageBreak/>
              <w:t>Flexi-Access Drawdown</w:t>
            </w:r>
          </w:p>
        </w:tc>
        <w:tc>
          <w:tcPr>
            <w:tcW w:w="4539" w:type="dxa"/>
            <w:vAlign w:val="center"/>
          </w:tcPr>
          <w:p w14:paraId="6F228544" w14:textId="77777777" w:rsidR="007171E3" w:rsidRDefault="007171E3" w:rsidP="00615FC0">
            <w:pPr>
              <w:pStyle w:val="ListParagraph"/>
            </w:pPr>
            <w:r>
              <w:t>The client has a medium or high capacity for loss and is willing and able to bear investment risk.</w:t>
            </w:r>
          </w:p>
          <w:p w14:paraId="1A5F6FC7" w14:textId="77777777" w:rsidR="007171E3" w:rsidRDefault="007171E3" w:rsidP="00615FC0">
            <w:pPr>
              <w:pStyle w:val="ListParagraph"/>
            </w:pPr>
            <w:r>
              <w:t>The client already has sufficient secure income to meet their essential expenditure.</w:t>
            </w:r>
          </w:p>
          <w:p w14:paraId="5A4FD253" w14:textId="77777777" w:rsidR="007171E3" w:rsidRDefault="007171E3" w:rsidP="00615FC0">
            <w:pPr>
              <w:pStyle w:val="ListParagraph"/>
            </w:pPr>
            <w:r>
              <w:t xml:space="preserve">The client agrees to an ongoing review service to manage the risks and ensure the solution remains suitable for their needs. </w:t>
            </w:r>
          </w:p>
        </w:tc>
        <w:tc>
          <w:tcPr>
            <w:tcW w:w="3494" w:type="dxa"/>
            <w:vAlign w:val="center"/>
          </w:tcPr>
          <w:p w14:paraId="43449A5C" w14:textId="77777777" w:rsidR="007171E3" w:rsidRDefault="007171E3" w:rsidP="00615FC0">
            <w:pPr>
              <w:pStyle w:val="ListParagraph"/>
            </w:pPr>
            <w:r>
              <w:t>The client has no, or very limited capacity for loss and is not willing or able to bear investment risk.</w:t>
            </w:r>
          </w:p>
        </w:tc>
      </w:tr>
      <w:tr w:rsidR="007171E3" w14:paraId="653073FB" w14:textId="77777777" w:rsidTr="00615FC0">
        <w:trPr>
          <w:trHeight w:val="282"/>
        </w:trPr>
        <w:tc>
          <w:tcPr>
            <w:tcW w:w="1410" w:type="dxa"/>
            <w:vAlign w:val="center"/>
          </w:tcPr>
          <w:p w14:paraId="45D26E03" w14:textId="77777777" w:rsidR="007171E3" w:rsidRPr="00615FC0" w:rsidRDefault="007171E3" w:rsidP="00615FC0">
            <w:pPr>
              <w:jc w:val="left"/>
              <w:rPr>
                <w:b/>
                <w:bCs/>
              </w:rPr>
            </w:pPr>
            <w:r w:rsidRPr="00615FC0">
              <w:rPr>
                <w:b/>
                <w:bCs/>
              </w:rPr>
              <w:t>Partial encashment (UFPLS)</w:t>
            </w:r>
          </w:p>
        </w:tc>
        <w:tc>
          <w:tcPr>
            <w:tcW w:w="4539" w:type="dxa"/>
            <w:vAlign w:val="center"/>
          </w:tcPr>
          <w:p w14:paraId="34D330CC" w14:textId="77777777" w:rsidR="007171E3" w:rsidRDefault="007171E3" w:rsidP="00615FC0">
            <w:pPr>
              <w:pStyle w:val="ListParagraph"/>
            </w:pPr>
            <w:r>
              <w:t>The client wishes to withdraw tax-free cash and taxable income, and their current scheme does not facilitate flexi-access drawdown.</w:t>
            </w:r>
          </w:p>
          <w:p w14:paraId="2503D56E" w14:textId="77777777" w:rsidR="007171E3" w:rsidRDefault="007171E3" w:rsidP="00615FC0">
            <w:pPr>
              <w:pStyle w:val="ListParagraph"/>
            </w:pPr>
            <w:r>
              <w:t xml:space="preserve">The client’s highest priority is </w:t>
            </w:r>
            <w:r w:rsidRPr="00F02064">
              <w:t xml:space="preserve">to make the most of their lifetime allowance and the client wants to take a mix of income and PCLS. </w:t>
            </w:r>
            <w:r>
              <w:t>This is because, in</w:t>
            </w:r>
            <w:r w:rsidRPr="00F02064">
              <w:t xml:space="preserve"> calculating the extent of the use of the lifetime allowance, HMRC allows rounding down of the percentage used. A flexi-access payment of income and PCLS involves two rounding’s down, while UFPLS allows just one.</w:t>
            </w:r>
          </w:p>
        </w:tc>
        <w:tc>
          <w:tcPr>
            <w:tcW w:w="3494" w:type="dxa"/>
            <w:vAlign w:val="center"/>
          </w:tcPr>
          <w:p w14:paraId="1F1FB634" w14:textId="77777777" w:rsidR="007171E3" w:rsidRDefault="007171E3" w:rsidP="00615FC0">
            <w:pPr>
              <w:pStyle w:val="ListParagraph"/>
            </w:pPr>
            <w:r>
              <w:t>The client wants to minimise the tax liability of the withdrawal and this could more efficiently be met with another retirement option (i.e. tax-free cash under flexi-access drawdown).</w:t>
            </w:r>
          </w:p>
          <w:p w14:paraId="1E9DA92E" w14:textId="77777777" w:rsidR="007171E3" w:rsidRDefault="007171E3" w:rsidP="00615FC0">
            <w:pPr>
              <w:pStyle w:val="ListParagraph"/>
            </w:pPr>
            <w:r>
              <w:t xml:space="preserve">The client intends to continue making pension contributions in excess of the money purchase annual allowance.  </w:t>
            </w:r>
          </w:p>
          <w:p w14:paraId="21701DB5" w14:textId="77777777" w:rsidR="007171E3" w:rsidRDefault="007171E3" w:rsidP="00615FC0">
            <w:pPr>
              <w:pStyle w:val="ListParagraph"/>
            </w:pPr>
            <w:r>
              <w:t>The clients existing scheme facilitates flexi-access drawdown.</w:t>
            </w:r>
          </w:p>
        </w:tc>
      </w:tr>
    </w:tbl>
    <w:p w14:paraId="0EDE4C1D" w14:textId="77777777" w:rsidR="00097A93" w:rsidRDefault="00097A93" w:rsidP="00615FC0">
      <w:pPr>
        <w:spacing w:before="360"/>
      </w:pPr>
      <w:r>
        <w:t>Although the above table provides a guideline for retirement income planning, the recommended retirement income strategy will be determined by their needs and objectives.</w:t>
      </w:r>
    </w:p>
    <w:p w14:paraId="011AA58B" w14:textId="77777777" w:rsidR="00097A93" w:rsidRPr="00615FC0" w:rsidRDefault="007171E3" w:rsidP="00615FC0">
      <w:pPr>
        <w:pStyle w:val="Title"/>
      </w:pPr>
      <w:r w:rsidRPr="007171E3">
        <w:t>4. Withdrawal Options</w:t>
      </w:r>
    </w:p>
    <w:p w14:paraId="764D7107" w14:textId="77777777" w:rsidR="007171E3" w:rsidRPr="00615FC0" w:rsidRDefault="001E580B" w:rsidP="00615FC0">
      <w:r w:rsidRPr="001E580B">
        <w:t xml:space="preserve">One of the main concerns of </w:t>
      </w:r>
      <w:r>
        <w:t>using drawdown of UFPLS</w:t>
      </w:r>
      <w:r w:rsidRPr="001E580B">
        <w:t xml:space="preserve"> is the fear that the fund could become prematurely exhausted and the income will dry up.</w:t>
      </w:r>
      <w:r>
        <w:t xml:space="preserve"> The below text states our views on withdrawal options for managing this risk:</w:t>
      </w:r>
    </w:p>
    <w:p w14:paraId="13F607D7" w14:textId="77777777" w:rsidR="0006553B" w:rsidRPr="00615FC0" w:rsidRDefault="0006553B" w:rsidP="00615FC0">
      <w:pPr>
        <w:pStyle w:val="ListParagraph"/>
        <w:numPr>
          <w:ilvl w:val="1"/>
          <w:numId w:val="38"/>
        </w:numPr>
        <w:rPr>
          <w:rStyle w:val="Emphasis"/>
          <w:rFonts w:ascii="Montserrat Medium" w:hAnsi="Montserrat Medium"/>
        </w:rPr>
      </w:pPr>
      <w:r w:rsidRPr="00615FC0">
        <w:rPr>
          <w:rStyle w:val="Emphasis"/>
          <w:rFonts w:ascii="Montserrat Medium" w:hAnsi="Montserrat Medium"/>
        </w:rPr>
        <w:t>Total return</w:t>
      </w:r>
      <w:r w:rsidR="001E580B" w:rsidRPr="00615FC0">
        <w:rPr>
          <w:rStyle w:val="Emphasis"/>
          <w:rFonts w:ascii="Montserrat Medium" w:hAnsi="Montserrat Medium"/>
        </w:rPr>
        <w:t xml:space="preserve"> vs. Natural Income </w:t>
      </w:r>
    </w:p>
    <w:p w14:paraId="60979081" w14:textId="051ACE65" w:rsidR="00304BDF" w:rsidRDefault="001E580B" w:rsidP="00615FC0">
      <w:r>
        <w:t>Although withdrawing natural income has the advantage of ensuring the portfolio is not depleted, r</w:t>
      </w:r>
      <w:r w:rsidR="007171E3">
        <w:t xml:space="preserve">esearch has shown that total return is a superior withdrawal method to natural </w:t>
      </w:r>
      <w:r w:rsidR="007171E3">
        <w:lastRenderedPageBreak/>
        <w:t>income</w:t>
      </w:r>
      <w:r w:rsidR="007171E3" w:rsidRPr="00615FC0">
        <w:rPr>
          <w:vertAlign w:val="superscript"/>
        </w:rPr>
        <w:footnoteReference w:id="1"/>
      </w:r>
      <w:r w:rsidRPr="00615FC0">
        <w:rPr>
          <w:vertAlign w:val="superscript"/>
        </w:rPr>
        <w:t>,</w:t>
      </w:r>
      <w:r w:rsidR="007171E3" w:rsidRPr="00615FC0">
        <w:rPr>
          <w:vertAlign w:val="superscript"/>
        </w:rPr>
        <w:footnoteReference w:id="2"/>
      </w:r>
      <w:r w:rsidR="00615FC0" w:rsidRPr="00615FC0">
        <w:rPr>
          <w:vertAlign w:val="superscript"/>
        </w:rPr>
        <w:t>,</w:t>
      </w:r>
      <w:r w:rsidRPr="00615FC0">
        <w:rPr>
          <w:vertAlign w:val="superscript"/>
        </w:rPr>
        <w:footnoteReference w:id="3"/>
      </w:r>
      <w:r w:rsidR="007373C1">
        <w:rPr>
          <w:vertAlign w:val="superscript"/>
        </w:rPr>
        <w:t>,</w:t>
      </w:r>
      <w:r w:rsidR="007373C1">
        <w:rPr>
          <w:rStyle w:val="FootnoteReference"/>
        </w:rPr>
        <w:footnoteReference w:id="4"/>
      </w:r>
      <w:r w:rsidR="007171E3">
        <w:t>. We will therefore recommend that clients withdraw funds on a total-return basis.</w:t>
      </w:r>
    </w:p>
    <w:p w14:paraId="318F970E" w14:textId="77777777" w:rsidR="007171E3" w:rsidRPr="00615FC0" w:rsidRDefault="007171E3" w:rsidP="00615FC0">
      <w:pPr>
        <w:pStyle w:val="ListParagraph"/>
        <w:numPr>
          <w:ilvl w:val="1"/>
          <w:numId w:val="38"/>
        </w:numPr>
        <w:rPr>
          <w:b/>
          <w:bCs/>
          <w:sz w:val="21"/>
          <w:szCs w:val="21"/>
          <w:lang w:val="en-US"/>
        </w:rPr>
      </w:pPr>
      <w:r w:rsidRPr="00615FC0">
        <w:rPr>
          <w:rStyle w:val="Emphasis"/>
          <w:rFonts w:ascii="Montserrat Medium" w:hAnsi="Montserrat Medium"/>
        </w:rPr>
        <w:t>Income Sustainability</w:t>
      </w:r>
      <w:r w:rsidR="001E580B" w:rsidRPr="00615FC0">
        <w:rPr>
          <w:rStyle w:val="Emphasis"/>
          <w:rFonts w:ascii="Montserrat Medium" w:hAnsi="Montserrat Medium"/>
        </w:rPr>
        <w:t xml:space="preserve"> – Withdrawal Rate</w:t>
      </w:r>
    </w:p>
    <w:p w14:paraId="6CA2C707" w14:textId="77777777" w:rsidR="007171E3" w:rsidRDefault="007171E3" w:rsidP="00615FC0">
      <w:r w:rsidRPr="007171E3">
        <w:t>Research has shown that</w:t>
      </w:r>
      <w:r>
        <w:t xml:space="preserve"> the ‘safe’ withdrawal rate is between 2 to 4%, depending on a number of factors</w:t>
      </w:r>
      <w:r w:rsidRPr="00615FC0">
        <w:rPr>
          <w:vertAlign w:val="superscript"/>
        </w:rPr>
        <w:footnoteReference w:id="5"/>
      </w:r>
      <w:r>
        <w:t>. To mitigate the risk of clients depleting their portfolio, we will use the academic evidence to advise them on a sensible withdrawal rate. In addition to this:</w:t>
      </w:r>
    </w:p>
    <w:p w14:paraId="3BBA5AAB" w14:textId="77777777" w:rsidR="007171E3" w:rsidRDefault="007171E3" w:rsidP="00615FC0">
      <w:pPr>
        <w:numPr>
          <w:ilvl w:val="0"/>
          <w:numId w:val="44"/>
        </w:numPr>
      </w:pPr>
      <w:r>
        <w:t>The Timeline application will be used to help illustrate the risks of withdrawing too much income.</w:t>
      </w:r>
    </w:p>
    <w:p w14:paraId="77352729" w14:textId="77777777" w:rsidR="007171E3" w:rsidRDefault="007171E3" w:rsidP="00615FC0">
      <w:pPr>
        <w:numPr>
          <w:ilvl w:val="0"/>
          <w:numId w:val="44"/>
        </w:numPr>
      </w:pPr>
      <w:r>
        <w:t>An individual Withdrawal Policy Statement will be provided to all clients.</w:t>
      </w:r>
    </w:p>
    <w:p w14:paraId="4D2C5651" w14:textId="77777777" w:rsidR="007171E3" w:rsidRDefault="007171E3" w:rsidP="00615FC0">
      <w:pPr>
        <w:numPr>
          <w:ilvl w:val="0"/>
          <w:numId w:val="44"/>
        </w:numPr>
      </w:pPr>
      <w:r>
        <w:t>It will be mandatory for any clients who are using flexi-access drawdown to receive ongoing reviews.</w:t>
      </w:r>
    </w:p>
    <w:p w14:paraId="38F8362C" w14:textId="77777777" w:rsidR="007171E3" w:rsidRPr="00615FC0" w:rsidRDefault="007171E3" w:rsidP="00615FC0">
      <w:pPr>
        <w:pStyle w:val="ListParagraph"/>
        <w:numPr>
          <w:ilvl w:val="1"/>
          <w:numId w:val="38"/>
        </w:numPr>
        <w:rPr>
          <w:b/>
          <w:bCs/>
          <w:sz w:val="21"/>
          <w:szCs w:val="21"/>
          <w:lang w:val="en-US"/>
        </w:rPr>
      </w:pPr>
      <w:r w:rsidRPr="00615FC0">
        <w:rPr>
          <w:rStyle w:val="Emphasis"/>
          <w:rFonts w:ascii="Montserrat Medium" w:hAnsi="Montserrat Medium"/>
        </w:rPr>
        <w:t>Cash reserve strategy</w:t>
      </w:r>
    </w:p>
    <w:p w14:paraId="2542FA2C" w14:textId="2D05DF5C" w:rsidR="00F02064" w:rsidRDefault="007171E3" w:rsidP="00615FC0">
      <w:r>
        <w:t>R</w:t>
      </w:r>
      <w:r w:rsidRPr="007171E3">
        <w:t>esearch has shown that holding a cash reserve</w:t>
      </w:r>
      <w:r>
        <w:t xml:space="preserve"> in a retirement portfolio</w:t>
      </w:r>
      <w:r w:rsidRPr="007171E3">
        <w:t xml:space="preserve"> does </w:t>
      </w:r>
      <w:r>
        <w:t>not improve portfolio longevity</w:t>
      </w:r>
      <w:r w:rsidRPr="00615FC0">
        <w:rPr>
          <w:vertAlign w:val="superscript"/>
        </w:rPr>
        <w:footnoteReference w:id="6"/>
      </w:r>
      <w:r w:rsidR="00615FC0" w:rsidRPr="00615FC0">
        <w:rPr>
          <w:vertAlign w:val="superscript"/>
        </w:rPr>
        <w:t>,</w:t>
      </w:r>
      <w:r w:rsidRPr="00615FC0">
        <w:rPr>
          <w:vertAlign w:val="superscript"/>
        </w:rPr>
        <w:footnoteReference w:id="7"/>
      </w:r>
      <w:r w:rsidR="00BE2029">
        <w:rPr>
          <w:vertAlign w:val="superscript"/>
        </w:rPr>
        <w:t>,</w:t>
      </w:r>
      <w:r w:rsidR="00BE2029">
        <w:rPr>
          <w:rStyle w:val="FootnoteReference"/>
        </w:rPr>
        <w:footnoteReference w:id="8"/>
      </w:r>
      <w:r>
        <w:t>. We will therefore not recommend that a client holds surplus cash</w:t>
      </w:r>
      <w:r w:rsidR="00097A93">
        <w:t xml:space="preserve"> in their portfolio beyond what is required to meet ongoing charges</w:t>
      </w:r>
      <w:r>
        <w:t>.</w:t>
      </w:r>
      <w:r w:rsidR="00BE2029">
        <w:t xml:space="preserve"> We will however recommend that a client holds cash funds outside of the portfolio to cover short-term expenditure and unexpected costs (i.e. an emergency fund).</w:t>
      </w:r>
    </w:p>
    <w:p w14:paraId="158428B4" w14:textId="77777777" w:rsidR="007171E3" w:rsidRPr="00615FC0" w:rsidRDefault="007171E3" w:rsidP="00615FC0">
      <w:pPr>
        <w:pStyle w:val="ListParagraph"/>
        <w:numPr>
          <w:ilvl w:val="1"/>
          <w:numId w:val="38"/>
        </w:numPr>
        <w:rPr>
          <w:b/>
          <w:bCs/>
          <w:sz w:val="21"/>
          <w:szCs w:val="21"/>
          <w:lang w:val="en-US"/>
        </w:rPr>
      </w:pPr>
      <w:r w:rsidRPr="00615FC0">
        <w:rPr>
          <w:rStyle w:val="Emphasis"/>
          <w:rFonts w:ascii="Montserrat Medium" w:hAnsi="Montserrat Medium"/>
        </w:rPr>
        <w:t>Flexible Withdrawals</w:t>
      </w:r>
    </w:p>
    <w:p w14:paraId="0A1A3625" w14:textId="77777777" w:rsidR="007171E3" w:rsidRDefault="007171E3" w:rsidP="00615FC0">
      <w:r w:rsidRPr="007171E3">
        <w:t>Research has shown that clients can significantly reduce the chance of depleting their portfolio by adopting flexible withdrawal strategies</w:t>
      </w:r>
      <w:r w:rsidRPr="00615FC0">
        <w:rPr>
          <w:vertAlign w:val="superscript"/>
        </w:rPr>
        <w:footnoteReference w:id="9"/>
      </w:r>
      <w:r w:rsidR="00615FC0" w:rsidRPr="00615FC0">
        <w:rPr>
          <w:vertAlign w:val="superscript"/>
        </w:rPr>
        <w:t>,</w:t>
      </w:r>
      <w:r w:rsidRPr="00615FC0">
        <w:rPr>
          <w:vertAlign w:val="superscript"/>
        </w:rPr>
        <w:footnoteReference w:id="10"/>
      </w:r>
      <w:r w:rsidRPr="007171E3">
        <w:t xml:space="preserve">. We will educate clients on the need to be flexible with their withdrawals and use the Timeline application to </w:t>
      </w:r>
      <w:r w:rsidR="00097A93">
        <w:t>illustrate</w:t>
      </w:r>
      <w:r w:rsidRPr="007171E3">
        <w:t xml:space="preserve"> the potential benefits of this.</w:t>
      </w:r>
    </w:p>
    <w:p w14:paraId="2A9BD820" w14:textId="77777777" w:rsidR="00952F7B" w:rsidRDefault="00097A93" w:rsidP="00615FC0">
      <w:pPr>
        <w:pStyle w:val="Title"/>
      </w:pPr>
      <w:r>
        <w:t>5</w:t>
      </w:r>
      <w:r w:rsidR="00952F7B" w:rsidRPr="00952F7B">
        <w:t>. Investment Strategy</w:t>
      </w:r>
    </w:p>
    <w:p w14:paraId="37BEFD52" w14:textId="77777777" w:rsidR="00615FC0" w:rsidRDefault="00952F7B" w:rsidP="00615FC0">
      <w:r>
        <w:t>If it has been determined that a client should remain invested, a suitable investment strategy needs to be selected. The investment strategy selected should aim to minimise the key risks for retirees previously mentioned.</w:t>
      </w:r>
    </w:p>
    <w:p w14:paraId="35090762" w14:textId="77777777" w:rsidR="00C86BE3" w:rsidRPr="00615FC0" w:rsidRDefault="00615FC0" w:rsidP="00615FC0">
      <w:pPr>
        <w:ind w:left="360" w:hanging="360"/>
        <w:rPr>
          <w:rStyle w:val="Emphasis"/>
          <w:rFonts w:ascii="Montserrat Medium" w:hAnsi="Montserrat Medium"/>
        </w:rPr>
      </w:pPr>
      <w:r w:rsidRPr="00615FC0">
        <w:rPr>
          <w:rStyle w:val="Emphasis"/>
          <w:rFonts w:ascii="Montserrat Medium" w:hAnsi="Montserrat Medium"/>
        </w:rPr>
        <w:lastRenderedPageBreak/>
        <w:t>5.1 Asset Classes</w:t>
      </w:r>
    </w:p>
    <w:p w14:paraId="366D1737" w14:textId="42C3441D" w:rsidR="00C86BE3" w:rsidRDefault="00C86BE3" w:rsidP="00615FC0">
      <w:r w:rsidRPr="00C86BE3">
        <w:t xml:space="preserve">There is a claim that some asset classes, such as absolute return, can deliver equity </w:t>
      </w:r>
      <w:r w:rsidR="006918F9">
        <w:t>like</w:t>
      </w:r>
      <w:r w:rsidRPr="00C86BE3">
        <w:t xml:space="preserve"> market returns with reduce downside volatility. This theory is not supported by evidence</w:t>
      </w:r>
      <w:r w:rsidRPr="00615FC0">
        <w:rPr>
          <w:vertAlign w:val="superscript"/>
        </w:rPr>
        <w:footnoteReference w:id="11"/>
      </w:r>
      <w:r w:rsidRPr="00C86BE3">
        <w:t>, therefore we will be using ‘traditional’ asset classes, such as equity, bonds and property, which have stood the test of time</w:t>
      </w:r>
      <w:r w:rsidRPr="00615FC0">
        <w:rPr>
          <w:vertAlign w:val="superscript"/>
        </w:rPr>
        <w:footnoteReference w:id="12"/>
      </w:r>
      <w:r w:rsidRPr="00C86BE3">
        <w:t>.</w:t>
      </w:r>
    </w:p>
    <w:p w14:paraId="12205FF1" w14:textId="77777777" w:rsidR="00952F7B" w:rsidRPr="00615FC0" w:rsidRDefault="00C86BE3" w:rsidP="00615FC0">
      <w:pPr>
        <w:pStyle w:val="ListParagraph"/>
        <w:numPr>
          <w:ilvl w:val="1"/>
          <w:numId w:val="43"/>
        </w:numPr>
        <w:rPr>
          <w:b/>
          <w:bCs/>
          <w:sz w:val="21"/>
          <w:szCs w:val="21"/>
        </w:rPr>
      </w:pPr>
      <w:r w:rsidRPr="00615FC0">
        <w:rPr>
          <w:b/>
          <w:bCs/>
          <w:sz w:val="21"/>
          <w:szCs w:val="21"/>
        </w:rPr>
        <w:t>Asset</w:t>
      </w:r>
      <w:r w:rsidR="007171E3" w:rsidRPr="00615FC0">
        <w:rPr>
          <w:b/>
          <w:bCs/>
          <w:sz w:val="21"/>
          <w:szCs w:val="21"/>
        </w:rPr>
        <w:t xml:space="preserve"> Allocation</w:t>
      </w:r>
    </w:p>
    <w:p w14:paraId="7F0D548C" w14:textId="77777777" w:rsidR="007171E3" w:rsidRPr="007171E3" w:rsidRDefault="007171E3" w:rsidP="00F64320">
      <w:r>
        <w:t xml:space="preserve">Research has shown that </w:t>
      </w:r>
      <w:r w:rsidRPr="007171E3">
        <w:t>higher equity allocation tends to support higher withdrawal rates</w:t>
      </w:r>
      <w:r w:rsidRPr="00615FC0">
        <w:rPr>
          <w:vertAlign w:val="superscript"/>
        </w:rPr>
        <w:footnoteReference w:id="13"/>
      </w:r>
      <w:r w:rsidR="00097A93" w:rsidRPr="00615FC0">
        <w:rPr>
          <w:vertAlign w:val="superscript"/>
        </w:rPr>
        <w:t>,</w:t>
      </w:r>
      <w:r w:rsidRPr="00615FC0">
        <w:rPr>
          <w:vertAlign w:val="superscript"/>
        </w:rPr>
        <w:footnoteReference w:id="14"/>
      </w:r>
      <w:r w:rsidRPr="00615FC0">
        <w:rPr>
          <w:vertAlign w:val="superscript"/>
        </w:rPr>
        <w:t>.</w:t>
      </w:r>
      <w:r>
        <w:t xml:space="preserve"> We will therefore recommend that clients allocate as much of their portfolio to equity as they are willing and able to bear.</w:t>
      </w:r>
      <w:r w:rsidR="00C86BE3">
        <w:t xml:space="preserve"> </w:t>
      </w:r>
    </w:p>
    <w:p w14:paraId="3D71814F" w14:textId="77777777" w:rsidR="007171E3" w:rsidRPr="00615FC0" w:rsidRDefault="007171E3" w:rsidP="00615FC0">
      <w:pPr>
        <w:pStyle w:val="ListParagraph"/>
        <w:numPr>
          <w:ilvl w:val="1"/>
          <w:numId w:val="43"/>
        </w:numPr>
        <w:rPr>
          <w:b/>
          <w:bCs/>
          <w:sz w:val="21"/>
          <w:szCs w:val="21"/>
        </w:rPr>
      </w:pPr>
      <w:r w:rsidRPr="00615FC0">
        <w:rPr>
          <w:b/>
          <w:bCs/>
          <w:sz w:val="21"/>
          <w:szCs w:val="21"/>
        </w:rPr>
        <w:t>Goals Based (Bucketing)</w:t>
      </w:r>
    </w:p>
    <w:p w14:paraId="467A96AE" w14:textId="77777777" w:rsidR="007171E3" w:rsidRDefault="007171E3" w:rsidP="00F64320">
      <w:r>
        <w:t>Research has shown that clients are less likely to panic and make ill-informed changes to their portfolio when following a goals-based approach to investing</w:t>
      </w:r>
      <w:r w:rsidRPr="00615FC0">
        <w:rPr>
          <w:vertAlign w:val="superscript"/>
        </w:rPr>
        <w:footnoteReference w:id="15"/>
      </w:r>
      <w:r w:rsidRPr="00615FC0">
        <w:rPr>
          <w:vertAlign w:val="superscript"/>
        </w:rPr>
        <w:t xml:space="preserve">. </w:t>
      </w:r>
      <w:r>
        <w:t xml:space="preserve">To facilitate goals-based investing, we will use several ‘buckets’ or ‘investment pots’ to differentiate the different objectives for each pot. Each pot may have a different investment strategy and level of risk applied, although the overall portfolio will be aligned to the </w:t>
      </w:r>
      <w:r w:rsidR="00097A93">
        <w:t>client’s</w:t>
      </w:r>
      <w:r>
        <w:t xml:space="preserve"> risk profile.</w:t>
      </w:r>
    </w:p>
    <w:p w14:paraId="67F36906" w14:textId="6354F087" w:rsidR="00615FC0" w:rsidRPr="00C86BE3" w:rsidRDefault="00615FC0" w:rsidP="00615FC0">
      <w:r w:rsidRPr="00D4553C">
        <w:t xml:space="preserve">The below </w:t>
      </w:r>
      <w:r>
        <w:t>picture</w:t>
      </w:r>
      <w:r w:rsidRPr="00D4553C">
        <w:t xml:space="preserve"> provides an illustrative example</w:t>
      </w:r>
      <w:r w:rsidR="00650BAC">
        <w:t xml:space="preserve"> (note that the “cash” bucket will typically be outside of the portfolio, held in the clients bank account).</w:t>
      </w:r>
    </w:p>
    <w:p w14:paraId="001106E4" w14:textId="77777777" w:rsidR="007171E3" w:rsidRDefault="00615FC0" w:rsidP="00615FC0">
      <w:r>
        <w:rPr>
          <w:noProof/>
        </w:rPr>
        <w:drawing>
          <wp:inline distT="0" distB="0" distL="0" distR="0" wp14:anchorId="57AA8815" wp14:editId="44336598">
            <wp:extent cx="5727700" cy="2355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1-08 15.45.06.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2355215"/>
                    </a:xfrm>
                    <a:prstGeom prst="rect">
                      <a:avLst/>
                    </a:prstGeom>
                  </pic:spPr>
                </pic:pic>
              </a:graphicData>
            </a:graphic>
          </wp:inline>
        </w:drawing>
      </w:r>
    </w:p>
    <w:p w14:paraId="28420809" w14:textId="77777777" w:rsidR="007171E3" w:rsidRPr="00615FC0" w:rsidRDefault="007171E3" w:rsidP="00615FC0">
      <w:pPr>
        <w:pStyle w:val="ListParagraph"/>
        <w:numPr>
          <w:ilvl w:val="1"/>
          <w:numId w:val="43"/>
        </w:numPr>
        <w:rPr>
          <w:b/>
          <w:bCs/>
          <w:sz w:val="21"/>
          <w:szCs w:val="21"/>
        </w:rPr>
      </w:pPr>
      <w:r w:rsidRPr="00615FC0">
        <w:rPr>
          <w:b/>
          <w:bCs/>
          <w:sz w:val="21"/>
          <w:szCs w:val="21"/>
        </w:rPr>
        <w:t>Active/Passive</w:t>
      </w:r>
    </w:p>
    <w:p w14:paraId="083B0562" w14:textId="77777777" w:rsidR="00097A93" w:rsidRPr="00097A93" w:rsidRDefault="00097A93" w:rsidP="00F64320">
      <w:r w:rsidRPr="00097A93">
        <w:t xml:space="preserve">Research has shown that over the long-term, </w:t>
      </w:r>
      <w:r>
        <w:t>active</w:t>
      </w:r>
      <w:r w:rsidRPr="00097A93">
        <w:t xml:space="preserve"> investments are more likely to </w:t>
      </w:r>
      <w:r>
        <w:t>underperform</w:t>
      </w:r>
      <w:r w:rsidRPr="00097A93">
        <w:t xml:space="preserve"> </w:t>
      </w:r>
      <w:r>
        <w:t>passive</w:t>
      </w:r>
      <w:r w:rsidRPr="00097A93">
        <w:t xml:space="preserve"> investments. </w:t>
      </w:r>
      <w:r>
        <w:t>We will therefore recommend that clients invest passively</w:t>
      </w:r>
      <w:r w:rsidRPr="00615FC0">
        <w:rPr>
          <w:vertAlign w:val="superscript"/>
        </w:rPr>
        <w:footnoteReference w:id="16"/>
      </w:r>
      <w:r w:rsidRPr="00615FC0">
        <w:rPr>
          <w:vertAlign w:val="superscript"/>
        </w:rPr>
        <w:t>,</w:t>
      </w:r>
      <w:r w:rsidRPr="00615FC0">
        <w:rPr>
          <w:vertAlign w:val="superscript"/>
        </w:rPr>
        <w:footnoteReference w:id="17"/>
      </w:r>
      <w:r>
        <w:t>.</w:t>
      </w:r>
    </w:p>
    <w:p w14:paraId="5B4A45FC" w14:textId="77777777" w:rsidR="007171E3" w:rsidRPr="00615FC0" w:rsidRDefault="007171E3" w:rsidP="00615FC0">
      <w:pPr>
        <w:pStyle w:val="ListParagraph"/>
        <w:numPr>
          <w:ilvl w:val="1"/>
          <w:numId w:val="43"/>
        </w:numPr>
        <w:rPr>
          <w:b/>
          <w:bCs/>
          <w:sz w:val="21"/>
          <w:szCs w:val="21"/>
        </w:rPr>
      </w:pPr>
      <w:r w:rsidRPr="00615FC0">
        <w:rPr>
          <w:b/>
          <w:bCs/>
          <w:sz w:val="21"/>
          <w:szCs w:val="21"/>
        </w:rPr>
        <w:lastRenderedPageBreak/>
        <w:t xml:space="preserve">Rebalancing </w:t>
      </w:r>
    </w:p>
    <w:p w14:paraId="4B6BB607" w14:textId="77777777" w:rsidR="00841CCE" w:rsidRDefault="00841CCE" w:rsidP="00615FC0">
      <w:r w:rsidRPr="00841CCE">
        <w:t xml:space="preserve">Research has shown that there is no optimal frequency or threshold when </w:t>
      </w:r>
      <w:r w:rsidR="00615FC0">
        <w:t>selecting a rebalancing strategy</w:t>
      </w:r>
      <w:r w:rsidRPr="00615FC0">
        <w:rPr>
          <w:vertAlign w:val="superscript"/>
        </w:rPr>
        <w:footnoteReference w:id="18"/>
      </w:r>
      <w:r w:rsidRPr="00841CCE">
        <w:t>. We will therefore recommend that clients rebalance their portfolios twice per year. This is designed to minimise portfolio drift whilst keeping trading costs down.</w:t>
      </w:r>
    </w:p>
    <w:p w14:paraId="7E331071" w14:textId="77777777" w:rsidR="007171E3" w:rsidRPr="00615FC0" w:rsidRDefault="007171E3" w:rsidP="00615FC0">
      <w:pPr>
        <w:pStyle w:val="ListParagraph"/>
        <w:numPr>
          <w:ilvl w:val="1"/>
          <w:numId w:val="43"/>
        </w:numPr>
        <w:rPr>
          <w:b/>
          <w:bCs/>
          <w:sz w:val="21"/>
          <w:szCs w:val="21"/>
        </w:rPr>
      </w:pPr>
      <w:r w:rsidRPr="00615FC0">
        <w:rPr>
          <w:b/>
          <w:bCs/>
          <w:sz w:val="21"/>
          <w:szCs w:val="21"/>
        </w:rPr>
        <w:t>Inhouse / Outsourced</w:t>
      </w:r>
    </w:p>
    <w:p w14:paraId="080AC075" w14:textId="77777777" w:rsidR="00841CCE" w:rsidRDefault="00841CCE" w:rsidP="00841CCE">
      <w:r w:rsidRPr="00841CCE">
        <w:t>We do not believe that we have the time, skills or expertise to manage advisory portfolios in house. We believe that outsourcing the management of investment portfolios to a specialist provider is likely to result in better client outcomes. Therefore, we have decided to outsource the investment management.</w:t>
      </w:r>
    </w:p>
    <w:p w14:paraId="1F85F04B" w14:textId="77777777" w:rsidR="00615FC0" w:rsidRPr="00615FC0" w:rsidRDefault="00615FC0" w:rsidP="00615FC0">
      <w:pPr>
        <w:pStyle w:val="ListParagraph"/>
        <w:numPr>
          <w:ilvl w:val="1"/>
          <w:numId w:val="43"/>
        </w:numPr>
        <w:rPr>
          <w:b/>
          <w:bCs/>
          <w:sz w:val="21"/>
          <w:szCs w:val="21"/>
        </w:rPr>
      </w:pPr>
      <w:r w:rsidRPr="00615FC0">
        <w:rPr>
          <w:b/>
          <w:bCs/>
          <w:sz w:val="21"/>
          <w:szCs w:val="21"/>
        </w:rPr>
        <w:t>Options Discounted</w:t>
      </w:r>
    </w:p>
    <w:p w14:paraId="70603207" w14:textId="77777777" w:rsidR="00F64320" w:rsidRPr="00615FC0" w:rsidRDefault="00F64320" w:rsidP="00615FC0">
      <w:pPr>
        <w:rPr>
          <w:u w:val="single"/>
        </w:rPr>
      </w:pPr>
      <w:r w:rsidRPr="00304BDF">
        <w:rPr>
          <w:u w:val="single"/>
        </w:rPr>
        <w:t xml:space="preserve">Bespoke </w:t>
      </w:r>
      <w:r w:rsidR="00952F7B" w:rsidRPr="00304BDF">
        <w:rPr>
          <w:u w:val="single"/>
        </w:rPr>
        <w:t xml:space="preserve">Investment </w:t>
      </w:r>
      <w:r w:rsidRPr="00304BDF">
        <w:rPr>
          <w:u w:val="single"/>
        </w:rPr>
        <w:t>Solutions</w:t>
      </w:r>
    </w:p>
    <w:p w14:paraId="356C2D01" w14:textId="77777777" w:rsidR="00F64320" w:rsidRDefault="00F64320" w:rsidP="00F64320">
      <w:r>
        <w:t>We have decided against a bespoke investment solution for clients in retirement as it is likely to prove challenging to develop a robust and repeatable process, that demonstrates good governance and delivers good outcomes for clients.</w:t>
      </w:r>
    </w:p>
    <w:p w14:paraId="12075FF3" w14:textId="77777777" w:rsidR="00F64320" w:rsidRPr="00F64320" w:rsidRDefault="00F64320" w:rsidP="00F64320">
      <w:pPr>
        <w:rPr>
          <w:rFonts w:ascii="Times New Roman" w:eastAsia="Times New Roman" w:hAnsi="Times New Roman"/>
        </w:rPr>
      </w:pPr>
    </w:p>
    <w:p w14:paraId="3FF8A5EC" w14:textId="77777777" w:rsidR="00F64320" w:rsidRDefault="00F64320"/>
    <w:sectPr w:rsidR="00F64320" w:rsidSect="007A01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2F45" w14:textId="77777777" w:rsidR="00EF1522" w:rsidRDefault="00EF1522" w:rsidP="007171E3">
      <w:r>
        <w:separator/>
      </w:r>
    </w:p>
  </w:endnote>
  <w:endnote w:type="continuationSeparator" w:id="0">
    <w:p w14:paraId="3211AB9B" w14:textId="77777777" w:rsidR="00EF1522" w:rsidRDefault="00EF1522" w:rsidP="007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Microsoft YaHei">
    <w:panose1 w:val="020B0503020204020204"/>
    <w:charset w:val="86"/>
    <w:family w:val="swiss"/>
    <w:pitch w:val="variable"/>
    <w:sig w:usb0="80000287" w:usb1="28C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Montserrat Light">
    <w:panose1 w:val="00000400000000000000"/>
    <w:charset w:val="4D"/>
    <w:family w:val="auto"/>
    <w:notTrueType/>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New Roman Bold">
    <w:altName w:val="Times New Roman"/>
    <w:panose1 w:val="020B0604020202020204"/>
    <w:charset w:val="00"/>
    <w:family w:val="roman"/>
    <w:pitch w:val="variable"/>
    <w:sig w:usb0="E0002AFF" w:usb1="C0007841" w:usb2="00000009" w:usb3="00000000" w:csb0="000001FF" w:csb1="00000000"/>
  </w:font>
  <w:font w:name="Montserrat SemiBold">
    <w:panose1 w:val="00000700000000000000"/>
    <w:charset w:val="4D"/>
    <w:family w:val="auto"/>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D7B2" w14:textId="77777777" w:rsidR="00EF1522" w:rsidRDefault="00EF1522" w:rsidP="007171E3">
      <w:r>
        <w:separator/>
      </w:r>
    </w:p>
  </w:footnote>
  <w:footnote w:type="continuationSeparator" w:id="0">
    <w:p w14:paraId="452A8DDD" w14:textId="77777777" w:rsidR="00EF1522" w:rsidRDefault="00EF1522" w:rsidP="007171E3">
      <w:r>
        <w:continuationSeparator/>
      </w:r>
    </w:p>
  </w:footnote>
  <w:footnote w:id="1">
    <w:p w14:paraId="215AB186"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w:t>
      </w:r>
      <w:hyperlink r:id="rId1" w:history="1">
        <w:r w:rsidRPr="00615FC0">
          <w:rPr>
            <w:sz w:val="14"/>
            <w:szCs w:val="14"/>
          </w:rPr>
          <w:t>https://institutional.vanguard.com/iam/pdf/VIPS_total_return.pdf</w:t>
        </w:r>
      </w:hyperlink>
    </w:p>
  </w:footnote>
  <w:footnote w:id="2">
    <w:p w14:paraId="2F593587" w14:textId="77777777" w:rsidR="007171E3" w:rsidRPr="00615FC0" w:rsidRDefault="007171E3" w:rsidP="00615FC0">
      <w:pPr>
        <w:jc w:val="left"/>
        <w:rPr>
          <w:sz w:val="14"/>
          <w:szCs w:val="14"/>
        </w:rPr>
      </w:pPr>
      <w:r w:rsidRPr="00615FC0">
        <w:rPr>
          <w:sz w:val="14"/>
          <w:szCs w:val="14"/>
        </w:rPr>
        <w:footnoteRef/>
      </w:r>
      <w:hyperlink r:id="rId2" w:history="1">
        <w:r w:rsidRPr="00615FC0">
          <w:rPr>
            <w:sz w:val="14"/>
            <w:szCs w:val="14"/>
          </w:rPr>
          <w:t>https://www.synaptic.co.uk/research-and-opinion/connection/q2-2017/natural-yield-totally-bonkers-retirement-income-strategy</w:t>
        </w:r>
      </w:hyperlink>
    </w:p>
  </w:footnote>
  <w:footnote w:id="3">
    <w:p w14:paraId="0C673956" w14:textId="77777777" w:rsidR="001E580B" w:rsidRPr="00615FC0" w:rsidRDefault="001E580B" w:rsidP="00615FC0">
      <w:pPr>
        <w:jc w:val="left"/>
        <w:rPr>
          <w:sz w:val="14"/>
          <w:szCs w:val="14"/>
        </w:rPr>
      </w:pPr>
      <w:r w:rsidRPr="00615FC0">
        <w:rPr>
          <w:sz w:val="14"/>
          <w:szCs w:val="14"/>
        </w:rPr>
        <w:footnoteRef/>
      </w:r>
      <w:r w:rsidRPr="00615FC0">
        <w:rPr>
          <w:sz w:val="14"/>
          <w:szCs w:val="14"/>
        </w:rPr>
        <w:t xml:space="preserve"> </w:t>
      </w:r>
      <w:hyperlink r:id="rId3" w:history="1">
        <w:r w:rsidRPr="00615FC0">
          <w:rPr>
            <w:sz w:val="14"/>
            <w:szCs w:val="14"/>
          </w:rPr>
          <w:t>https://finalytiq.co.uk/natural-yield-totally-bonkers-retirement-income-strategy/</w:t>
        </w:r>
      </w:hyperlink>
      <w:r w:rsidRPr="00615FC0">
        <w:rPr>
          <w:sz w:val="14"/>
          <w:szCs w:val="14"/>
        </w:rPr>
        <w:t xml:space="preserve"> </w:t>
      </w:r>
    </w:p>
  </w:footnote>
  <w:footnote w:id="4">
    <w:p w14:paraId="706C9B61" w14:textId="7C06DE54" w:rsidR="007373C1" w:rsidRPr="007373C1" w:rsidRDefault="007373C1" w:rsidP="007373C1">
      <w:pPr>
        <w:suppressAutoHyphens w:val="0"/>
        <w:spacing w:before="0" w:after="0" w:line="240" w:lineRule="auto"/>
        <w:jc w:val="left"/>
        <w:rPr>
          <w:rFonts w:ascii="Times New Roman" w:eastAsia="Times New Roman" w:hAnsi="Times New Roman"/>
          <w:color w:val="auto"/>
        </w:rPr>
      </w:pPr>
      <w:r>
        <w:rPr>
          <w:rStyle w:val="FootnoteReference"/>
        </w:rPr>
        <w:footnoteRef/>
      </w:r>
      <w:r>
        <w:t xml:space="preserve"> </w:t>
      </w:r>
      <w:hyperlink r:id="rId4" w:history="1">
        <w:r w:rsidRPr="007373C1">
          <w:rPr>
            <w:sz w:val="14"/>
            <w:szCs w:val="14"/>
          </w:rPr>
          <w:t>https://www.timelineapp.co/blog/putting-natural-yield-retirement-income-to-the-test/</w:t>
        </w:r>
      </w:hyperlink>
    </w:p>
  </w:footnote>
  <w:footnote w:id="5">
    <w:p w14:paraId="6F0F620B"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w:t>
      </w:r>
      <w:hyperlink r:id="rId5" w:history="1">
        <w:r w:rsidRPr="00615FC0">
          <w:rPr>
            <w:sz w:val="14"/>
            <w:szCs w:val="14"/>
          </w:rPr>
          <w:t>https://www.langcatfinancial.co.uk/wp-content/uploads/2016/10/Aegon-HOW-TO-GET-YOUR-MONEY-BACK.pdf</w:t>
        </w:r>
      </w:hyperlink>
      <w:r w:rsidRPr="00615FC0">
        <w:rPr>
          <w:sz w:val="14"/>
          <w:szCs w:val="14"/>
        </w:rPr>
        <w:t xml:space="preserve"> </w:t>
      </w:r>
    </w:p>
  </w:footnote>
  <w:footnote w:id="6">
    <w:p w14:paraId="3C313CFA"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w:t>
      </w:r>
      <w:hyperlink r:id="rId6" w:history="1">
        <w:r w:rsidRPr="00615FC0">
          <w:rPr>
            <w:sz w:val="14"/>
            <w:szCs w:val="14"/>
          </w:rPr>
          <w:t>https://finalytiq.co.uk/wp-content/uploads/2017/02/FPA-Journal-December-1997-Conserving-Client-Portfolios-During-Retirement-Part-III.pdf</w:t>
        </w:r>
      </w:hyperlink>
      <w:r w:rsidRPr="00615FC0">
        <w:rPr>
          <w:sz w:val="14"/>
          <w:szCs w:val="14"/>
        </w:rPr>
        <w:t xml:space="preserve"> </w:t>
      </w:r>
    </w:p>
  </w:footnote>
  <w:footnote w:id="7">
    <w:p w14:paraId="47FD1BC3" w14:textId="77777777" w:rsidR="007171E3" w:rsidRPr="00615FC0" w:rsidRDefault="007171E3" w:rsidP="00615FC0">
      <w:pPr>
        <w:jc w:val="left"/>
        <w:rPr>
          <w:sz w:val="14"/>
          <w:szCs w:val="14"/>
        </w:rPr>
      </w:pPr>
      <w:r w:rsidRPr="00615FC0">
        <w:rPr>
          <w:sz w:val="14"/>
          <w:szCs w:val="14"/>
        </w:rPr>
        <w:footnoteRef/>
      </w:r>
      <w:hyperlink r:id="rId7" w:history="1">
        <w:r w:rsidRPr="00615FC0">
          <w:rPr>
            <w:sz w:val="14"/>
            <w:szCs w:val="14"/>
          </w:rPr>
          <w:t>https://www.onefpa.org/journal/Pages/Sustainable%20Withdrawal%20Rates%20The%20Historical%20Evidence%20on%20Buffer%20Zone%20Strategies.aspx</w:t>
        </w:r>
      </w:hyperlink>
      <w:r w:rsidRPr="00615FC0">
        <w:rPr>
          <w:sz w:val="14"/>
          <w:szCs w:val="14"/>
        </w:rPr>
        <w:t xml:space="preserve"> </w:t>
      </w:r>
    </w:p>
  </w:footnote>
  <w:footnote w:id="8">
    <w:p w14:paraId="5556A68F" w14:textId="4D8B5A6F" w:rsidR="00BE2029" w:rsidRPr="00BE2029" w:rsidRDefault="00BE2029" w:rsidP="00BE2029">
      <w:pPr>
        <w:suppressAutoHyphens w:val="0"/>
        <w:spacing w:before="0" w:after="0" w:line="240" w:lineRule="auto"/>
        <w:jc w:val="left"/>
        <w:rPr>
          <w:sz w:val="14"/>
          <w:szCs w:val="14"/>
        </w:rPr>
      </w:pPr>
      <w:r>
        <w:rPr>
          <w:rStyle w:val="FootnoteReference"/>
        </w:rPr>
        <w:footnoteRef/>
      </w:r>
      <w:r>
        <w:t xml:space="preserve"> </w:t>
      </w:r>
      <w:hyperlink r:id="rId8" w:history="1">
        <w:r w:rsidRPr="00BE2029">
          <w:rPr>
            <w:sz w:val="14"/>
            <w:szCs w:val="14"/>
          </w:rPr>
          <w:t>https://www.timelineapp.co/blog/cash-buffers-sustainable-withdrawal-and-bear-markets/?mc_cid=f50d0d3798&amp;mc_eid=2ffa07a51e</w:t>
        </w:r>
      </w:hyperlink>
    </w:p>
  </w:footnote>
  <w:footnote w:id="9">
    <w:p w14:paraId="541ED29E"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Guyton, J.T. and Klinger, W.J., 2006. Decision rules and maximum initial withdrawal rates. JOURNAL OF FINANCIAL PLANNING-DENVER-, 19(3), p.48.</w:t>
      </w:r>
    </w:p>
  </w:footnote>
  <w:footnote w:id="10">
    <w:p w14:paraId="3D82DBE1"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w:t>
      </w:r>
      <w:hyperlink r:id="rId9" w:history="1">
        <w:r w:rsidRPr="00615FC0">
          <w:rPr>
            <w:sz w:val="14"/>
            <w:szCs w:val="14"/>
          </w:rPr>
          <w:t>https://www.kitces.com/blog/dynamic-retirement-spending-small-but-permanent-variable-adjustments/</w:t>
        </w:r>
      </w:hyperlink>
      <w:r w:rsidRPr="00615FC0">
        <w:rPr>
          <w:sz w:val="14"/>
          <w:szCs w:val="14"/>
        </w:rPr>
        <w:t xml:space="preserve"> </w:t>
      </w:r>
    </w:p>
  </w:footnote>
  <w:footnote w:id="11">
    <w:p w14:paraId="603A1077" w14:textId="77777777" w:rsidR="00C86BE3" w:rsidRPr="00615FC0" w:rsidRDefault="00C86BE3" w:rsidP="00615FC0">
      <w:pPr>
        <w:jc w:val="left"/>
        <w:rPr>
          <w:sz w:val="14"/>
          <w:szCs w:val="14"/>
        </w:rPr>
      </w:pPr>
      <w:r w:rsidRPr="00615FC0">
        <w:rPr>
          <w:sz w:val="14"/>
          <w:szCs w:val="14"/>
        </w:rPr>
        <w:footnoteRef/>
      </w:r>
      <w:r w:rsidRPr="00615FC0">
        <w:rPr>
          <w:sz w:val="14"/>
          <w:szCs w:val="14"/>
        </w:rPr>
        <w:t xml:space="preserve"> </w:t>
      </w:r>
      <w:hyperlink r:id="rId10" w:history="1">
        <w:r w:rsidRPr="00615FC0">
          <w:rPr>
            <w:sz w:val="14"/>
            <w:szCs w:val="14"/>
          </w:rPr>
          <w:t>https://www.ii.co.uk/analysis-commentary/absolute-return-funds-once-again-fail-hit-target-ii507032</w:t>
        </w:r>
      </w:hyperlink>
      <w:r w:rsidRPr="00615FC0">
        <w:rPr>
          <w:sz w:val="14"/>
          <w:szCs w:val="14"/>
        </w:rPr>
        <w:t xml:space="preserve"> </w:t>
      </w:r>
    </w:p>
  </w:footnote>
  <w:footnote w:id="12">
    <w:p w14:paraId="2E969B3E" w14:textId="77777777" w:rsidR="00C86BE3" w:rsidRPr="00615FC0" w:rsidRDefault="00C86BE3" w:rsidP="00615FC0">
      <w:pPr>
        <w:jc w:val="left"/>
        <w:rPr>
          <w:sz w:val="14"/>
          <w:szCs w:val="14"/>
        </w:rPr>
      </w:pPr>
      <w:r w:rsidRPr="00615FC0">
        <w:rPr>
          <w:sz w:val="14"/>
          <w:szCs w:val="14"/>
        </w:rPr>
        <w:footnoteRef/>
      </w:r>
      <w:r w:rsidRPr="00615FC0">
        <w:rPr>
          <w:sz w:val="14"/>
          <w:szCs w:val="14"/>
        </w:rPr>
        <w:t xml:space="preserve"> </w:t>
      </w:r>
      <w:hyperlink r:id="rId11" w:history="1">
        <w:r w:rsidRPr="00615FC0">
          <w:rPr>
            <w:sz w:val="14"/>
            <w:szCs w:val="14"/>
          </w:rPr>
          <w:t>https://www.allocationblog.com/content/uploads/sites/3/2016/07/Equity-Gilt-Study-2016.compressed.pdf</w:t>
        </w:r>
      </w:hyperlink>
      <w:r w:rsidRPr="00615FC0">
        <w:rPr>
          <w:sz w:val="14"/>
          <w:szCs w:val="14"/>
        </w:rPr>
        <w:t xml:space="preserve"> </w:t>
      </w:r>
    </w:p>
  </w:footnote>
  <w:footnote w:id="13">
    <w:p w14:paraId="62CE7695"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w:t>
      </w:r>
      <w:hyperlink r:id="rId12" w:history="1">
        <w:r w:rsidRPr="00615FC0">
          <w:rPr>
            <w:sz w:val="14"/>
            <w:szCs w:val="14"/>
          </w:rPr>
          <w:t>https://finalytiq.co.uk/wp-content/uploads/2017/02/Bill-Bengen.pdf</w:t>
        </w:r>
      </w:hyperlink>
      <w:r w:rsidRPr="00615FC0">
        <w:rPr>
          <w:sz w:val="14"/>
          <w:szCs w:val="14"/>
        </w:rPr>
        <w:t xml:space="preserve"> </w:t>
      </w:r>
    </w:p>
  </w:footnote>
  <w:footnote w:id="14">
    <w:p w14:paraId="25A822E6"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w:t>
      </w:r>
      <w:hyperlink r:id="rId13" w:history="1">
        <w:r w:rsidRPr="00615FC0">
          <w:rPr>
            <w:sz w:val="14"/>
            <w:szCs w:val="14"/>
          </w:rPr>
          <w:t>https://finalytiq.co.uk/lower-equity-allocation-retirement-reducing-risk-shooting-foot/</w:t>
        </w:r>
      </w:hyperlink>
      <w:r w:rsidRPr="00615FC0">
        <w:rPr>
          <w:sz w:val="14"/>
          <w:szCs w:val="14"/>
        </w:rPr>
        <w:t xml:space="preserve"> </w:t>
      </w:r>
    </w:p>
  </w:footnote>
  <w:footnote w:id="15">
    <w:p w14:paraId="3E4F9331" w14:textId="77777777" w:rsidR="007171E3" w:rsidRPr="00615FC0" w:rsidRDefault="007171E3" w:rsidP="00615FC0">
      <w:pPr>
        <w:jc w:val="left"/>
        <w:rPr>
          <w:sz w:val="14"/>
          <w:szCs w:val="14"/>
        </w:rPr>
      </w:pPr>
      <w:r w:rsidRPr="00615FC0">
        <w:rPr>
          <w:sz w:val="14"/>
          <w:szCs w:val="14"/>
        </w:rPr>
        <w:footnoteRef/>
      </w:r>
      <w:r w:rsidRPr="00615FC0">
        <w:rPr>
          <w:sz w:val="14"/>
          <w:szCs w:val="14"/>
        </w:rPr>
        <w:t xml:space="preserve"> </w:t>
      </w:r>
      <w:hyperlink r:id="rId14" w:history="1">
        <w:r w:rsidRPr="00615FC0">
          <w:rPr>
            <w:sz w:val="14"/>
            <w:szCs w:val="14"/>
          </w:rPr>
          <w:t>http://citeseerx.ist.psu.edu/viewdoc/download?doi=10.1.1.335.236&amp;rep=rep1&amp;type=pdf</w:t>
        </w:r>
      </w:hyperlink>
      <w:r w:rsidRPr="00615FC0">
        <w:rPr>
          <w:sz w:val="14"/>
          <w:szCs w:val="14"/>
        </w:rPr>
        <w:t xml:space="preserve"> </w:t>
      </w:r>
    </w:p>
  </w:footnote>
  <w:footnote w:id="16">
    <w:p w14:paraId="0DCE9D24" w14:textId="77777777" w:rsidR="00097A93" w:rsidRPr="00615FC0" w:rsidRDefault="00097A93" w:rsidP="00615FC0">
      <w:pPr>
        <w:jc w:val="left"/>
        <w:rPr>
          <w:sz w:val="14"/>
          <w:szCs w:val="14"/>
        </w:rPr>
      </w:pPr>
      <w:r w:rsidRPr="00615FC0">
        <w:rPr>
          <w:sz w:val="14"/>
          <w:szCs w:val="14"/>
        </w:rPr>
        <w:footnoteRef/>
      </w:r>
      <w:hyperlink r:id="rId15" w:history="1">
        <w:r w:rsidRPr="00615FC0">
          <w:rPr>
            <w:sz w:val="14"/>
            <w:szCs w:val="14"/>
          </w:rPr>
          <w:t>https://www.morningstar.com/content/dam/marketing/shared/Company/LandingPages/Research/Documents/Morningstar_Active_Passive_Barometer_2018.pdf</w:t>
        </w:r>
      </w:hyperlink>
      <w:r w:rsidRPr="00615FC0">
        <w:rPr>
          <w:sz w:val="14"/>
          <w:szCs w:val="14"/>
        </w:rPr>
        <w:t xml:space="preserve"> </w:t>
      </w:r>
    </w:p>
  </w:footnote>
  <w:footnote w:id="17">
    <w:p w14:paraId="4A6F157D" w14:textId="77777777" w:rsidR="00097A93" w:rsidRPr="00615FC0" w:rsidRDefault="00097A93" w:rsidP="00615FC0">
      <w:pPr>
        <w:jc w:val="left"/>
        <w:rPr>
          <w:sz w:val="14"/>
          <w:szCs w:val="14"/>
        </w:rPr>
      </w:pPr>
      <w:r w:rsidRPr="00615FC0">
        <w:rPr>
          <w:sz w:val="14"/>
          <w:szCs w:val="14"/>
        </w:rPr>
        <w:footnoteRef/>
      </w:r>
      <w:r w:rsidRPr="00615FC0">
        <w:rPr>
          <w:sz w:val="14"/>
          <w:szCs w:val="14"/>
        </w:rPr>
        <w:t xml:space="preserve"> </w:t>
      </w:r>
      <w:hyperlink r:id="rId16" w:anchor="/reports" w:history="1">
        <w:r w:rsidRPr="00615FC0">
          <w:rPr>
            <w:sz w:val="14"/>
            <w:szCs w:val="14"/>
          </w:rPr>
          <w:t>https://us.spindices.com/spiva/#/reports</w:t>
        </w:r>
      </w:hyperlink>
      <w:r w:rsidRPr="00615FC0">
        <w:rPr>
          <w:sz w:val="14"/>
          <w:szCs w:val="14"/>
        </w:rPr>
        <w:t xml:space="preserve"> </w:t>
      </w:r>
    </w:p>
  </w:footnote>
  <w:footnote w:id="18">
    <w:p w14:paraId="22984B15" w14:textId="77777777" w:rsidR="00841CCE" w:rsidRPr="00615FC0" w:rsidRDefault="00841CCE" w:rsidP="00615FC0">
      <w:pPr>
        <w:jc w:val="left"/>
        <w:rPr>
          <w:sz w:val="14"/>
          <w:szCs w:val="14"/>
        </w:rPr>
      </w:pPr>
      <w:r w:rsidRPr="00615FC0">
        <w:rPr>
          <w:sz w:val="14"/>
          <w:szCs w:val="14"/>
        </w:rPr>
        <w:footnoteRef/>
      </w:r>
      <w:r w:rsidRPr="00615FC0">
        <w:rPr>
          <w:sz w:val="14"/>
          <w:szCs w:val="14"/>
        </w:rPr>
        <w:t xml:space="preserve"> </w:t>
      </w:r>
      <w:hyperlink r:id="rId17" w:history="1">
        <w:r w:rsidRPr="00615FC0">
          <w:rPr>
            <w:sz w:val="14"/>
            <w:szCs w:val="14"/>
          </w:rPr>
          <w:t>https://www.vanguard.com/pdf/icrpr.pdf</w:t>
        </w:r>
      </w:hyperlink>
      <w:r w:rsidRPr="00615FC0">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7A61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47EAB"/>
    <w:multiLevelType w:val="hybridMultilevel"/>
    <w:tmpl w:val="830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D12"/>
    <w:multiLevelType w:val="hybridMultilevel"/>
    <w:tmpl w:val="0C7AEADA"/>
    <w:lvl w:ilvl="0" w:tplc="2744DB38">
      <w:start w:val="1"/>
      <w:numFmt w:val="decimal"/>
      <w:pStyle w:val="1NormalNumbering"/>
      <w:lvlText w:val="%1."/>
      <w:lvlJc w:val="left"/>
      <w:pPr>
        <w:ind w:left="720" w:hanging="360"/>
      </w:pPr>
      <w:rPr>
        <w:rFonts w:hint="default"/>
        <w:color w:val="C65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77FAE"/>
    <w:multiLevelType w:val="multilevel"/>
    <w:tmpl w:val="181099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00F59"/>
    <w:multiLevelType w:val="hybridMultilevel"/>
    <w:tmpl w:val="151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1C54"/>
    <w:multiLevelType w:val="hybridMultilevel"/>
    <w:tmpl w:val="F1FE5144"/>
    <w:lvl w:ilvl="0" w:tplc="E408B878">
      <w:start w:val="1"/>
      <w:numFmt w:val="bullet"/>
      <w:lvlText w:val=""/>
      <w:lvlJc w:val="left"/>
      <w:pPr>
        <w:ind w:left="720" w:hanging="360"/>
      </w:pPr>
      <w:rPr>
        <w:rFonts w:ascii="Symbol" w:hAnsi="Symbol" w:cs="Symbol" w:hint="default"/>
        <w:color w:val="9D3C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B71F5"/>
    <w:multiLevelType w:val="hybridMultilevel"/>
    <w:tmpl w:val="C254ADFA"/>
    <w:lvl w:ilvl="0" w:tplc="D708C6C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10841"/>
    <w:multiLevelType w:val="hybridMultilevel"/>
    <w:tmpl w:val="B948B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15F55"/>
    <w:multiLevelType w:val="hybridMultilevel"/>
    <w:tmpl w:val="FC1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C3AEB"/>
    <w:multiLevelType w:val="hybridMultilevel"/>
    <w:tmpl w:val="FF226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A51D7"/>
    <w:multiLevelType w:val="multilevel"/>
    <w:tmpl w:val="0F08E486"/>
    <w:lvl w:ilvl="0">
      <w:start w:val="1"/>
      <w:numFmt w:val="bullet"/>
      <w:pStyle w:val="Subtitle"/>
      <w:lvlText w:val=""/>
      <w:lvlJc w:val="left"/>
      <w:pPr>
        <w:ind w:left="720" w:hanging="360"/>
      </w:pPr>
      <w:rPr>
        <w:rFonts w:ascii="Symbol" w:hAnsi="Symbol" w:cs="Symbol" w:hint="default"/>
        <w:color w:val="9D3CC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23B62321"/>
    <w:multiLevelType w:val="hybridMultilevel"/>
    <w:tmpl w:val="B19C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F351F1"/>
    <w:multiLevelType w:val="hybridMultilevel"/>
    <w:tmpl w:val="9B42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22E0"/>
    <w:multiLevelType w:val="hybridMultilevel"/>
    <w:tmpl w:val="DFA09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62F5A"/>
    <w:multiLevelType w:val="hybridMultilevel"/>
    <w:tmpl w:val="453C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743C4"/>
    <w:multiLevelType w:val="hybridMultilevel"/>
    <w:tmpl w:val="CEA87A58"/>
    <w:lvl w:ilvl="0" w:tplc="3878DE1A">
      <w:start w:val="1"/>
      <w:numFmt w:val="bullet"/>
      <w:lvlText w:val=""/>
      <w:lvlJc w:val="left"/>
      <w:pPr>
        <w:ind w:left="360" w:hanging="360"/>
      </w:pPr>
      <w:rPr>
        <w:rFonts w:ascii="Wingdings" w:hAnsi="Wingdings" w:cs="Wingdings" w:hint="default"/>
        <w:color w:val="9D3CC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44CCA"/>
    <w:multiLevelType w:val="hybridMultilevel"/>
    <w:tmpl w:val="6B422660"/>
    <w:lvl w:ilvl="0" w:tplc="E408B878">
      <w:start w:val="1"/>
      <w:numFmt w:val="bullet"/>
      <w:lvlText w:val=""/>
      <w:lvlJc w:val="left"/>
      <w:pPr>
        <w:ind w:left="720" w:hanging="360"/>
      </w:pPr>
      <w:rPr>
        <w:rFonts w:ascii="Symbol" w:hAnsi="Symbol" w:cs="Symbol" w:hint="default"/>
        <w:color w:val="9D3C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19F1"/>
    <w:multiLevelType w:val="hybridMultilevel"/>
    <w:tmpl w:val="BFC21F3A"/>
    <w:lvl w:ilvl="0" w:tplc="73E81196">
      <w:start w:val="1"/>
      <w:numFmt w:val="bullet"/>
      <w:lvlText w:val=""/>
      <w:lvlJc w:val="left"/>
      <w:pPr>
        <w:ind w:left="720" w:hanging="360"/>
      </w:pPr>
      <w:rPr>
        <w:rFonts w:ascii="Symbol" w:hAnsi="Symbol" w:hint="default"/>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934C9"/>
    <w:multiLevelType w:val="multilevel"/>
    <w:tmpl w:val="ECDEB068"/>
    <w:lvl w:ilvl="0">
      <w:start w:val="1"/>
      <w:numFmt w:val="bullet"/>
      <w:pStyle w:val="ListBullet"/>
      <w:lvlText w:val=""/>
      <w:lvlJc w:val="left"/>
      <w:pPr>
        <w:tabs>
          <w:tab w:val="num" w:pos="720"/>
        </w:tabs>
        <w:ind w:left="720" w:hanging="360"/>
      </w:pPr>
      <w:rPr>
        <w:rFonts w:ascii="Wingdings" w:hAnsi="Wingdings" w:cs="Times New Roman" w:hint="default"/>
        <w:color w:val="E0791C"/>
      </w:rPr>
    </w:lvl>
    <w:lvl w:ilvl="1">
      <w:start w:val="1"/>
      <w:numFmt w:val="bullet"/>
      <w:lvlText w:val=""/>
      <w:lvlJc w:val="left"/>
      <w:pPr>
        <w:tabs>
          <w:tab w:val="num" w:pos="1080"/>
        </w:tabs>
        <w:ind w:left="1080" w:hanging="360"/>
      </w:pPr>
      <w:rPr>
        <w:rFonts w:ascii="Symbol" w:hAnsi="Symbol" w:cs="Times New Roman" w:hint="default"/>
        <w:color w:val="632163"/>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3EAC0B24"/>
    <w:multiLevelType w:val="multilevel"/>
    <w:tmpl w:val="2D0A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824FA"/>
    <w:multiLevelType w:val="hybridMultilevel"/>
    <w:tmpl w:val="9232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A2430"/>
    <w:multiLevelType w:val="multilevel"/>
    <w:tmpl w:val="DAD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F7E22"/>
    <w:multiLevelType w:val="hybridMultilevel"/>
    <w:tmpl w:val="69B483A8"/>
    <w:lvl w:ilvl="0" w:tplc="528E74C2">
      <w:start w:val="1"/>
      <w:numFmt w:val="bullet"/>
      <w:pStyle w:val="Ovationbullet1"/>
      <w:lvlText w:val=""/>
      <w:lvlJc w:val="left"/>
      <w:pPr>
        <w:ind w:left="720" w:hanging="360"/>
      </w:pPr>
      <w:rPr>
        <w:rFonts w:ascii="Wingdings" w:hAnsi="Wingdings" w:hint="default"/>
        <w:color w:val="C65F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516F9"/>
    <w:multiLevelType w:val="hybridMultilevel"/>
    <w:tmpl w:val="08C4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C541A"/>
    <w:multiLevelType w:val="hybridMultilevel"/>
    <w:tmpl w:val="53C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E6198"/>
    <w:multiLevelType w:val="hybridMultilevel"/>
    <w:tmpl w:val="037E42E2"/>
    <w:lvl w:ilvl="0" w:tplc="452ABDFE">
      <w:start w:val="1"/>
      <w:numFmt w:val="decimal"/>
      <w:pStyle w:val="Number"/>
      <w:lvlText w:val="%1."/>
      <w:lvlJc w:val="left"/>
      <w:pPr>
        <w:ind w:left="360" w:hanging="360"/>
      </w:pPr>
      <w:rPr>
        <w:rFonts w:hint="default"/>
        <w:color w:val="C65F1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9E16901"/>
    <w:multiLevelType w:val="hybridMultilevel"/>
    <w:tmpl w:val="4F7E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41B90"/>
    <w:multiLevelType w:val="hybridMultilevel"/>
    <w:tmpl w:val="329C0CE8"/>
    <w:lvl w:ilvl="0" w:tplc="F91C4824">
      <w:start w:val="1"/>
      <w:numFmt w:val="bullet"/>
      <w:pStyle w:val="11Bullet"/>
      <w:lvlText w:val=""/>
      <w:lvlJc w:val="left"/>
      <w:pPr>
        <w:ind w:left="720" w:hanging="360"/>
      </w:pPr>
      <w:rPr>
        <w:rFonts w:ascii="Symbol" w:hAnsi="Symbol" w:hint="default"/>
        <w:color w:val="C65F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B0749"/>
    <w:multiLevelType w:val="multilevel"/>
    <w:tmpl w:val="44AE18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D733EE"/>
    <w:multiLevelType w:val="hybridMultilevel"/>
    <w:tmpl w:val="DCCE5AEA"/>
    <w:lvl w:ilvl="0" w:tplc="35B25BAA">
      <w:start w:val="1"/>
      <w:numFmt w:val="decimal"/>
      <w:lvlText w:val="%1."/>
      <w:lvlJc w:val="left"/>
      <w:pPr>
        <w:ind w:left="720" w:hanging="360"/>
      </w:pPr>
      <w:rPr>
        <w:rFonts w:hint="default"/>
        <w:b/>
        <w:i w:val="0"/>
        <w:color w:val="9D3C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A6DA6"/>
    <w:multiLevelType w:val="hybridMultilevel"/>
    <w:tmpl w:val="1564F9CE"/>
    <w:lvl w:ilvl="0" w:tplc="D9A046E8">
      <w:start w:val="1"/>
      <w:numFmt w:val="decimal"/>
      <w:pStyle w:val="Numbers"/>
      <w:lvlText w:val="%1."/>
      <w:lvlJc w:val="left"/>
      <w:pPr>
        <w:ind w:left="360" w:hanging="360"/>
      </w:pPr>
      <w:rPr>
        <w:rFonts w:hint="default"/>
        <w:b/>
        <w:i w:val="0"/>
        <w:color w:val="9D3CC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863D85"/>
    <w:multiLevelType w:val="hybridMultilevel"/>
    <w:tmpl w:val="9E64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F6584"/>
    <w:multiLevelType w:val="hybridMultilevel"/>
    <w:tmpl w:val="A32EC880"/>
    <w:lvl w:ilvl="0" w:tplc="04090001">
      <w:start w:val="1"/>
      <w:numFmt w:val="bullet"/>
      <w:lvlText w:val=""/>
      <w:lvlJc w:val="left"/>
      <w:pPr>
        <w:ind w:left="720" w:hanging="360"/>
      </w:pPr>
      <w:rPr>
        <w:rFonts w:ascii="Symbol" w:hAnsi="Symbol" w:hint="default"/>
        <w:color w:val="9D3CC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C59EB"/>
    <w:multiLevelType w:val="hybridMultilevel"/>
    <w:tmpl w:val="A642A79C"/>
    <w:lvl w:ilvl="0" w:tplc="E408B878">
      <w:start w:val="1"/>
      <w:numFmt w:val="bullet"/>
      <w:lvlText w:val=""/>
      <w:lvlJc w:val="left"/>
      <w:pPr>
        <w:ind w:left="720" w:hanging="360"/>
      </w:pPr>
      <w:rPr>
        <w:rFonts w:ascii="Symbol" w:hAnsi="Symbol" w:cs="Symbol" w:hint="default"/>
        <w:color w:val="9D3CC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C6FBC"/>
    <w:multiLevelType w:val="hybridMultilevel"/>
    <w:tmpl w:val="A4140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92F65"/>
    <w:multiLevelType w:val="hybridMultilevel"/>
    <w:tmpl w:val="5172EB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3F5EF4"/>
    <w:multiLevelType w:val="hybridMultilevel"/>
    <w:tmpl w:val="E0BC23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D429D8"/>
    <w:multiLevelType w:val="hybridMultilevel"/>
    <w:tmpl w:val="D5EE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C1DC9"/>
    <w:multiLevelType w:val="multilevel"/>
    <w:tmpl w:val="8486B054"/>
    <w:lvl w:ilvl="0">
      <w:start w:val="1"/>
      <w:numFmt w:val="decimal"/>
      <w:lvlText w:val="%1."/>
      <w:lvlJc w:val="left"/>
      <w:pPr>
        <w:ind w:left="720" w:hanging="360"/>
      </w:pPr>
      <w:rPr>
        <w:rFonts w:hint="default"/>
        <w:b/>
        <w:i w:val="0"/>
        <w:color w:val="9D3CC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68598B"/>
    <w:multiLevelType w:val="hybridMultilevel"/>
    <w:tmpl w:val="A62EDFE2"/>
    <w:lvl w:ilvl="0" w:tplc="5B484D88">
      <w:start w:val="1"/>
      <w:numFmt w:val="bullet"/>
      <w:pStyle w:val="BulletPoints"/>
      <w:lvlText w:val=""/>
      <w:lvlJc w:val="left"/>
      <w:pPr>
        <w:ind w:left="360" w:hanging="360"/>
      </w:pPr>
      <w:rPr>
        <w:rFonts w:ascii="Symbol" w:hAnsi="Symbol" w:cs="Symbol" w:hint="default"/>
        <w:color w:val="9D3CC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4"/>
  </w:num>
  <w:num w:numId="4">
    <w:abstractNumId w:val="37"/>
  </w:num>
  <w:num w:numId="5">
    <w:abstractNumId w:val="34"/>
  </w:num>
  <w:num w:numId="6">
    <w:abstractNumId w:val="4"/>
  </w:num>
  <w:num w:numId="7">
    <w:abstractNumId w:val="1"/>
  </w:num>
  <w:num w:numId="8">
    <w:abstractNumId w:val="8"/>
  </w:num>
  <w:num w:numId="9">
    <w:abstractNumId w:val="21"/>
  </w:num>
  <w:num w:numId="10">
    <w:abstractNumId w:val="20"/>
  </w:num>
  <w:num w:numId="11">
    <w:abstractNumId w:val="23"/>
  </w:num>
  <w:num w:numId="12">
    <w:abstractNumId w:val="24"/>
  </w:num>
  <w:num w:numId="13">
    <w:abstractNumId w:val="13"/>
  </w:num>
  <w:num w:numId="14">
    <w:abstractNumId w:val="9"/>
  </w:num>
  <w:num w:numId="15">
    <w:abstractNumId w:val="11"/>
  </w:num>
  <w:num w:numId="16">
    <w:abstractNumId w:val="26"/>
  </w:num>
  <w:num w:numId="17">
    <w:abstractNumId w:val="31"/>
  </w:num>
  <w:num w:numId="18">
    <w:abstractNumId w:val="7"/>
  </w:num>
  <w:num w:numId="19">
    <w:abstractNumId w:val="35"/>
  </w:num>
  <w:num w:numId="20">
    <w:abstractNumId w:val="36"/>
  </w:num>
  <w:num w:numId="21">
    <w:abstractNumId w:val="15"/>
  </w:num>
  <w:num w:numId="22">
    <w:abstractNumId w:val="32"/>
  </w:num>
  <w:num w:numId="23">
    <w:abstractNumId w:val="17"/>
  </w:num>
  <w:num w:numId="24">
    <w:abstractNumId w:val="25"/>
  </w:num>
  <w:num w:numId="25">
    <w:abstractNumId w:val="2"/>
  </w:num>
  <w:num w:numId="26">
    <w:abstractNumId w:val="27"/>
  </w:num>
  <w:num w:numId="27">
    <w:abstractNumId w:val="39"/>
  </w:num>
  <w:num w:numId="28">
    <w:abstractNumId w:val="0"/>
  </w:num>
  <w:num w:numId="29">
    <w:abstractNumId w:val="18"/>
  </w:num>
  <w:num w:numId="30">
    <w:abstractNumId w:val="30"/>
  </w:num>
  <w:num w:numId="31">
    <w:abstractNumId w:val="22"/>
  </w:num>
  <w:num w:numId="32">
    <w:abstractNumId w:val="10"/>
  </w:num>
  <w:num w:numId="33">
    <w:abstractNumId w:val="38"/>
  </w:num>
  <w:num w:numId="34">
    <w:abstractNumId w:val="5"/>
  </w:num>
  <w:num w:numId="35">
    <w:abstractNumId w:val="16"/>
  </w:num>
  <w:num w:numId="36">
    <w:abstractNumId w:val="33"/>
  </w:num>
  <w:num w:numId="37">
    <w:abstractNumId w:val="6"/>
  </w:num>
  <w:num w:numId="38">
    <w:abstractNumId w:val="3"/>
  </w:num>
  <w:num w:numId="39">
    <w:abstractNumId w:val="6"/>
  </w:num>
  <w:num w:numId="40">
    <w:abstractNumId w:val="6"/>
  </w:num>
  <w:num w:numId="41">
    <w:abstractNumId w:val="6"/>
  </w:num>
  <w:num w:numId="42">
    <w:abstractNumId w:val="6"/>
  </w:num>
  <w:num w:numId="43">
    <w:abstractNumId w:val="2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20"/>
    <w:rsid w:val="0006553B"/>
    <w:rsid w:val="00097A93"/>
    <w:rsid w:val="001E580B"/>
    <w:rsid w:val="00304BDF"/>
    <w:rsid w:val="00396DC0"/>
    <w:rsid w:val="005C301E"/>
    <w:rsid w:val="00615FC0"/>
    <w:rsid w:val="00650BAC"/>
    <w:rsid w:val="006918F9"/>
    <w:rsid w:val="007171E3"/>
    <w:rsid w:val="007373C1"/>
    <w:rsid w:val="00741075"/>
    <w:rsid w:val="007A0136"/>
    <w:rsid w:val="007D6809"/>
    <w:rsid w:val="007E2C99"/>
    <w:rsid w:val="00800E7F"/>
    <w:rsid w:val="00841CCE"/>
    <w:rsid w:val="00952F7B"/>
    <w:rsid w:val="00966921"/>
    <w:rsid w:val="00994BD9"/>
    <w:rsid w:val="009A326C"/>
    <w:rsid w:val="00BE2029"/>
    <w:rsid w:val="00C86BE3"/>
    <w:rsid w:val="00D3446F"/>
    <w:rsid w:val="00D4553C"/>
    <w:rsid w:val="00E56EAC"/>
    <w:rsid w:val="00EB3423"/>
    <w:rsid w:val="00EF1522"/>
    <w:rsid w:val="00F02064"/>
    <w:rsid w:val="00F643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6338"/>
  <w15:chartTrackingRefBased/>
  <w15:docId w15:val="{421CC641-232F-7A47-BE64-D054303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AC"/>
    <w:pPr>
      <w:suppressAutoHyphens/>
      <w:spacing w:before="120" w:after="120" w:line="276" w:lineRule="auto"/>
      <w:jc w:val="both"/>
    </w:pPr>
    <w:rPr>
      <w:rFonts w:ascii="Montserrat Medium" w:eastAsia="Calibri" w:hAnsi="Montserrat Medium" w:cs="Times New Roman"/>
      <w:color w:val="36384C"/>
      <w:sz w:val="20"/>
      <w:szCs w:val="20"/>
    </w:rPr>
  </w:style>
  <w:style w:type="paragraph" w:styleId="Heading1">
    <w:name w:val="heading 1"/>
    <w:basedOn w:val="Normal"/>
    <w:next w:val="Normal"/>
    <w:link w:val="Heading1Char"/>
    <w:uiPriority w:val="9"/>
    <w:qFormat/>
    <w:rsid w:val="00E56EAC"/>
    <w:pPr>
      <w:pBdr>
        <w:bottom w:val="single" w:sz="18" w:space="1" w:color="9D3CC4"/>
      </w:pBdr>
      <w:spacing w:after="360" w:line="100" w:lineRule="atLeast"/>
      <w:jc w:val="left"/>
      <w:outlineLvl w:val="0"/>
    </w:pPr>
    <w:rPr>
      <w:b/>
      <w:color w:val="333333"/>
      <w:sz w:val="28"/>
      <w:szCs w:val="28"/>
    </w:rPr>
  </w:style>
  <w:style w:type="paragraph" w:styleId="Heading2">
    <w:name w:val="heading 2"/>
    <w:aliases w:val="Ovation Heading 2"/>
    <w:basedOn w:val="Normal"/>
    <w:next w:val="Normal"/>
    <w:link w:val="Heading2Char"/>
    <w:unhideWhenUsed/>
    <w:rsid w:val="00E56EA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rsid w:val="00E56EAC"/>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E56EA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E56EA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EAC"/>
    <w:rPr>
      <w:rFonts w:ascii="Montserrat Medium" w:eastAsia="Calibri" w:hAnsi="Montserrat Medium" w:cs="Times New Roman"/>
      <w:b/>
      <w:color w:val="333333"/>
      <w:sz w:val="28"/>
      <w:szCs w:val="28"/>
    </w:rPr>
  </w:style>
  <w:style w:type="paragraph" w:customStyle="1" w:styleId="Heading10">
    <w:name w:val=".Heading 1"/>
    <w:basedOn w:val="Heading1"/>
    <w:link w:val="Heading1Char0"/>
    <w:rsid w:val="00E56EAC"/>
  </w:style>
  <w:style w:type="character" w:customStyle="1" w:styleId="Heading1Char0">
    <w:name w:val=".Heading 1 Char"/>
    <w:link w:val="Heading10"/>
    <w:rsid w:val="00E56EAC"/>
    <w:rPr>
      <w:rFonts w:ascii="Montserrat Medium" w:eastAsia="Calibri" w:hAnsi="Montserrat Medium" w:cs="Times New Roman"/>
      <w:b/>
      <w:color w:val="333333"/>
      <w:sz w:val="28"/>
      <w:szCs w:val="28"/>
    </w:rPr>
  </w:style>
  <w:style w:type="paragraph" w:customStyle="1" w:styleId="Number">
    <w:name w:val=".Number"/>
    <w:link w:val="NumberChar"/>
    <w:rsid w:val="00E56EAC"/>
    <w:pPr>
      <w:numPr>
        <w:numId w:val="24"/>
      </w:numPr>
      <w:spacing w:before="200" w:after="200" w:line="276" w:lineRule="auto"/>
      <w:jc w:val="both"/>
    </w:pPr>
    <w:rPr>
      <w:rFonts w:ascii="Georgia" w:eastAsia="Calibri" w:hAnsi="Georgia" w:cs="Times New Roman"/>
      <w:color w:val="36384C"/>
      <w:sz w:val="20"/>
      <w:szCs w:val="20"/>
      <w:lang w:eastAsia="en-US"/>
    </w:rPr>
  </w:style>
  <w:style w:type="character" w:customStyle="1" w:styleId="NumberChar">
    <w:name w:val=".Number Char"/>
    <w:link w:val="Number"/>
    <w:rsid w:val="00E56EAC"/>
    <w:rPr>
      <w:rFonts w:ascii="Georgia" w:eastAsia="Calibri" w:hAnsi="Georgia" w:cs="Times New Roman"/>
      <w:color w:val="36384C"/>
      <w:sz w:val="20"/>
      <w:szCs w:val="20"/>
      <w:lang w:eastAsia="en-US"/>
    </w:rPr>
  </w:style>
  <w:style w:type="paragraph" w:customStyle="1" w:styleId="BasicParagraph">
    <w:name w:val="[Basic Paragraph]"/>
    <w:basedOn w:val="Normal"/>
    <w:rsid w:val="00E56EAC"/>
    <w:pPr>
      <w:widowControl w:val="0"/>
      <w:spacing w:before="0" w:after="0" w:line="288" w:lineRule="auto"/>
      <w:textAlignment w:val="center"/>
    </w:pPr>
    <w:rPr>
      <w:rFonts w:ascii="Times-Roman" w:eastAsia="Cambria" w:hAnsi="Times-Roman" w:cs="Times-Roman"/>
      <w:color w:val="000000"/>
      <w:kern w:val="1"/>
      <w:sz w:val="24"/>
      <w:szCs w:val="24"/>
    </w:rPr>
  </w:style>
  <w:style w:type="paragraph" w:customStyle="1" w:styleId="Normal0">
    <w:name w:val="[Normal]"/>
    <w:link w:val="NormalChar"/>
    <w:rsid w:val="00E56EAC"/>
    <w:pPr>
      <w:spacing w:after="200" w:line="276" w:lineRule="auto"/>
    </w:pPr>
    <w:rPr>
      <w:rFonts w:ascii="Arial" w:eastAsia="Arial" w:hAnsi="Arial" w:cs="Times New Roman"/>
      <w:noProof/>
      <w:szCs w:val="22"/>
      <w:lang w:val="en-US" w:eastAsia="en-US"/>
    </w:rPr>
  </w:style>
  <w:style w:type="character" w:customStyle="1" w:styleId="NormalChar">
    <w:name w:val="[Normal] Char"/>
    <w:link w:val="Normal0"/>
    <w:rsid w:val="00E56EAC"/>
    <w:rPr>
      <w:rFonts w:ascii="Arial" w:eastAsia="Arial" w:hAnsi="Arial" w:cs="Times New Roman"/>
      <w:noProof/>
      <w:szCs w:val="22"/>
      <w:lang w:val="en-US" w:eastAsia="en-US"/>
    </w:rPr>
  </w:style>
  <w:style w:type="paragraph" w:customStyle="1" w:styleId="1NormalNumbering">
    <w:name w:val="1. Normal Numbering"/>
    <w:basedOn w:val="Normal"/>
    <w:link w:val="1NormalNumberingChar"/>
    <w:rsid w:val="00E56EAC"/>
    <w:pPr>
      <w:numPr>
        <w:numId w:val="25"/>
      </w:numPr>
    </w:pPr>
  </w:style>
  <w:style w:type="character" w:customStyle="1" w:styleId="1NormalNumberingChar">
    <w:name w:val="1. Normal Numbering Char"/>
    <w:link w:val="1NormalNumbering"/>
    <w:rsid w:val="00E56EAC"/>
    <w:rPr>
      <w:rFonts w:ascii="Montserrat Medium" w:eastAsia="Calibri" w:hAnsi="Montserrat Medium" w:cs="Times New Roman"/>
      <w:color w:val="36384C"/>
      <w:sz w:val="20"/>
      <w:szCs w:val="20"/>
    </w:rPr>
  </w:style>
  <w:style w:type="paragraph" w:customStyle="1" w:styleId="OvationSubheading">
    <w:name w:val="Ovation Subheading"/>
    <w:basedOn w:val="Normal"/>
    <w:next w:val="Heading2"/>
    <w:link w:val="OvationSubheadingChar"/>
    <w:rsid w:val="00E56EAC"/>
    <w:rPr>
      <w:rFonts w:cs="Arial"/>
      <w:b/>
      <w:color w:val="C65F1F"/>
    </w:rPr>
  </w:style>
  <w:style w:type="character" w:customStyle="1" w:styleId="OvationSubheadingChar">
    <w:name w:val="Ovation Subheading Char"/>
    <w:link w:val="OvationSubheading"/>
    <w:rsid w:val="00E56EAC"/>
    <w:rPr>
      <w:rFonts w:ascii="Montserrat Medium" w:eastAsia="Calibri" w:hAnsi="Montserrat Medium" w:cs="Arial"/>
      <w:b/>
      <w:color w:val="C65F1F"/>
      <w:sz w:val="20"/>
      <w:szCs w:val="20"/>
    </w:rPr>
  </w:style>
  <w:style w:type="character" w:customStyle="1" w:styleId="Heading2Char">
    <w:name w:val="Heading 2 Char"/>
    <w:aliases w:val="Ovation Heading 2 Char"/>
    <w:link w:val="Heading2"/>
    <w:rsid w:val="00E56EAC"/>
    <w:rPr>
      <w:rFonts w:ascii="Cambria" w:eastAsia="Calibri" w:hAnsi="Cambria" w:cs="Times New Roman"/>
      <w:b/>
      <w:bCs/>
      <w:color w:val="4F81BD"/>
      <w:sz w:val="26"/>
      <w:szCs w:val="26"/>
    </w:rPr>
  </w:style>
  <w:style w:type="paragraph" w:customStyle="1" w:styleId="1OrangeSubheading">
    <w:name w:val="1. Orange Subheading"/>
    <w:basedOn w:val="OvationSubheading"/>
    <w:next w:val="TOC4"/>
    <w:link w:val="1OrangeSubheadingChar"/>
    <w:rsid w:val="00E56EAC"/>
    <w:pPr>
      <w:spacing w:after="160"/>
      <w:jc w:val="left"/>
    </w:pPr>
  </w:style>
  <w:style w:type="character" w:customStyle="1" w:styleId="1OrangeSubheadingChar">
    <w:name w:val="1. Orange Subheading Char"/>
    <w:link w:val="1OrangeSubheading"/>
    <w:rsid w:val="00E56EAC"/>
    <w:rPr>
      <w:rFonts w:ascii="Montserrat Medium" w:eastAsia="Calibri" w:hAnsi="Montserrat Medium" w:cs="Arial"/>
      <w:b/>
      <w:color w:val="C65F1F"/>
      <w:sz w:val="20"/>
      <w:szCs w:val="20"/>
    </w:rPr>
  </w:style>
  <w:style w:type="paragraph" w:styleId="TOC4">
    <w:name w:val="toc 4"/>
    <w:basedOn w:val="Normal"/>
    <w:next w:val="Normal"/>
    <w:autoRedefine/>
    <w:uiPriority w:val="39"/>
    <w:unhideWhenUsed/>
    <w:rsid w:val="00E56EAC"/>
    <w:pPr>
      <w:spacing w:after="0"/>
      <w:ind w:left="660"/>
    </w:pPr>
    <w:rPr>
      <w:rFonts w:ascii="Calibri" w:hAnsi="Calibri" w:cs="Calibri"/>
      <w:szCs w:val="24"/>
    </w:rPr>
  </w:style>
  <w:style w:type="paragraph" w:customStyle="1" w:styleId="1TableHeading">
    <w:name w:val="1. Table Heading"/>
    <w:basedOn w:val="Normal"/>
    <w:link w:val="1TableHeadingChar"/>
    <w:rsid w:val="00E56EAC"/>
    <w:pPr>
      <w:spacing w:after="0"/>
      <w:jc w:val="left"/>
    </w:pPr>
    <w:rPr>
      <w:b/>
      <w:bCs/>
      <w:color w:val="C65F1F"/>
      <w:lang w:eastAsia="en-GB"/>
    </w:rPr>
  </w:style>
  <w:style w:type="character" w:customStyle="1" w:styleId="1TableHeadingChar">
    <w:name w:val="1. Table Heading Char"/>
    <w:link w:val="1TableHeading"/>
    <w:rsid w:val="00E56EAC"/>
    <w:rPr>
      <w:rFonts w:ascii="Montserrat Medium" w:eastAsia="Calibri" w:hAnsi="Montserrat Medium" w:cs="Times New Roman"/>
      <w:b/>
      <w:bCs/>
      <w:color w:val="C65F1F"/>
      <w:sz w:val="20"/>
      <w:szCs w:val="20"/>
      <w:lang w:eastAsia="en-GB"/>
    </w:rPr>
  </w:style>
  <w:style w:type="paragraph" w:customStyle="1" w:styleId="1TableNormal">
    <w:name w:val="1. Table Normal."/>
    <w:basedOn w:val="Normal"/>
    <w:link w:val="1TableNormalChar"/>
    <w:rsid w:val="00E56EAC"/>
    <w:pPr>
      <w:autoSpaceDN w:val="0"/>
      <w:spacing w:before="60" w:after="60"/>
    </w:pPr>
    <w:rPr>
      <w:rFonts w:ascii="Calibri" w:eastAsia="Times New Roman" w:hAnsi="Calibri" w:cs="Calibri"/>
      <w:color w:val="auto"/>
      <w:kern w:val="3"/>
      <w:lang w:eastAsia="en-GB"/>
    </w:rPr>
  </w:style>
  <w:style w:type="character" w:customStyle="1" w:styleId="1TableNormalChar">
    <w:name w:val="1. Table Normal. Char"/>
    <w:link w:val="1TableNormal"/>
    <w:rsid w:val="00E56EAC"/>
    <w:rPr>
      <w:rFonts w:ascii="Calibri" w:eastAsia="Times New Roman" w:hAnsi="Calibri" w:cs="Calibri"/>
      <w:kern w:val="3"/>
      <w:sz w:val="20"/>
      <w:szCs w:val="20"/>
      <w:lang w:eastAsia="en-GB"/>
    </w:rPr>
  </w:style>
  <w:style w:type="paragraph" w:styleId="ListParagraph">
    <w:name w:val="List Paragraph"/>
    <w:aliases w:val="Table Text"/>
    <w:basedOn w:val="Normal"/>
    <w:link w:val="ListParagraphChar"/>
    <w:autoRedefine/>
    <w:uiPriority w:val="34"/>
    <w:qFormat/>
    <w:rsid w:val="00615FC0"/>
    <w:pPr>
      <w:numPr>
        <w:numId w:val="37"/>
      </w:numPr>
      <w:jc w:val="left"/>
    </w:pPr>
    <w:rPr>
      <w:sz w:val="19"/>
      <w:szCs w:val="19"/>
    </w:rPr>
  </w:style>
  <w:style w:type="character" w:customStyle="1" w:styleId="ListParagraphChar">
    <w:name w:val="List Paragraph Char"/>
    <w:aliases w:val="Table Text Char"/>
    <w:link w:val="ListParagraph"/>
    <w:uiPriority w:val="34"/>
    <w:rsid w:val="00615FC0"/>
    <w:rPr>
      <w:rFonts w:ascii="Montserrat Medium" w:eastAsia="Calibri" w:hAnsi="Montserrat Medium" w:cs="Times New Roman"/>
      <w:color w:val="36384C"/>
      <w:sz w:val="19"/>
      <w:szCs w:val="19"/>
    </w:rPr>
  </w:style>
  <w:style w:type="paragraph" w:customStyle="1" w:styleId="11Bullet">
    <w:name w:val="11 Bullet"/>
    <w:basedOn w:val="ListParagraph"/>
    <w:link w:val="11BulletChar"/>
    <w:rsid w:val="00E56EAC"/>
    <w:pPr>
      <w:numPr>
        <w:numId w:val="26"/>
      </w:numPr>
      <w:spacing w:line="360" w:lineRule="auto"/>
    </w:pPr>
    <w:rPr>
      <w:rFonts w:eastAsia="Cambria"/>
      <w:lang w:val="en-US"/>
    </w:rPr>
  </w:style>
  <w:style w:type="character" w:customStyle="1" w:styleId="11BulletChar">
    <w:name w:val="11 Bullet Char"/>
    <w:link w:val="11Bullet"/>
    <w:rsid w:val="00E56EAC"/>
    <w:rPr>
      <w:rFonts w:ascii="Montserrat Medium" w:eastAsia="Cambria" w:hAnsi="Montserrat Medium" w:cs="Times New Roman"/>
      <w:color w:val="36384C"/>
      <w:sz w:val="19"/>
      <w:szCs w:val="19"/>
      <w:lang w:val="en-US"/>
    </w:rPr>
  </w:style>
  <w:style w:type="character" w:customStyle="1" w:styleId="AABold">
    <w:name w:val="AA Bold"/>
    <w:rsid w:val="00E56EAC"/>
    <w:rPr>
      <w:b/>
      <w:color w:val="E0791C"/>
    </w:rPr>
  </w:style>
  <w:style w:type="character" w:customStyle="1" w:styleId="AABoldItalic">
    <w:name w:val="AA Bold Italic"/>
    <w:rsid w:val="00E56EAC"/>
    <w:rPr>
      <w:b/>
      <w:i/>
      <w:color w:val="E0791C"/>
    </w:rPr>
  </w:style>
  <w:style w:type="character" w:customStyle="1" w:styleId="apple-converted-space">
    <w:name w:val="apple-converted-space"/>
    <w:rsid w:val="00E56EAC"/>
  </w:style>
  <w:style w:type="character" w:customStyle="1" w:styleId="apple-style-span">
    <w:name w:val="apple-style-span"/>
    <w:rsid w:val="00E56EAC"/>
  </w:style>
  <w:style w:type="paragraph" w:styleId="BalloonText">
    <w:name w:val="Balloon Text"/>
    <w:basedOn w:val="Normal"/>
    <w:link w:val="BalloonTextChar"/>
    <w:rsid w:val="00E56EAC"/>
    <w:pPr>
      <w:spacing w:after="0" w:line="100" w:lineRule="atLeast"/>
    </w:pPr>
    <w:rPr>
      <w:rFonts w:ascii="Tahoma" w:hAnsi="Tahoma" w:cs="Tahoma"/>
      <w:color w:val="auto"/>
      <w:sz w:val="16"/>
      <w:szCs w:val="16"/>
      <w:lang w:val="en-US" w:eastAsia="en-US"/>
    </w:rPr>
  </w:style>
  <w:style w:type="character" w:customStyle="1" w:styleId="BalloonTextChar">
    <w:name w:val="Balloon Text Char"/>
    <w:link w:val="BalloonText"/>
    <w:rsid w:val="00E56EAC"/>
    <w:rPr>
      <w:rFonts w:ascii="Tahoma" w:eastAsia="Calibri" w:hAnsi="Tahoma" w:cs="Tahoma"/>
      <w:sz w:val="16"/>
      <w:szCs w:val="16"/>
      <w:lang w:val="en-US" w:eastAsia="en-US"/>
    </w:rPr>
  </w:style>
  <w:style w:type="paragraph" w:styleId="BodyText">
    <w:name w:val="Body Text"/>
    <w:basedOn w:val="Normal"/>
    <w:link w:val="BodyTextChar"/>
    <w:rsid w:val="00E56EAC"/>
  </w:style>
  <w:style w:type="character" w:customStyle="1" w:styleId="BodyTextChar">
    <w:name w:val="Body Text Char"/>
    <w:link w:val="BodyText"/>
    <w:rsid w:val="00E56EAC"/>
    <w:rPr>
      <w:rFonts w:ascii="Montserrat Medium" w:eastAsia="Calibri" w:hAnsi="Montserrat Medium" w:cs="Times New Roman"/>
      <w:color w:val="36384C"/>
      <w:sz w:val="20"/>
      <w:szCs w:val="20"/>
    </w:rPr>
  </w:style>
  <w:style w:type="paragraph" w:styleId="BodyText2">
    <w:name w:val="Body Text 2"/>
    <w:basedOn w:val="Normal"/>
    <w:link w:val="BodyText2Char"/>
    <w:rsid w:val="00E56EAC"/>
    <w:pPr>
      <w:spacing w:line="480" w:lineRule="auto"/>
    </w:pPr>
  </w:style>
  <w:style w:type="character" w:customStyle="1" w:styleId="BodyText2Char">
    <w:name w:val="Body Text 2 Char"/>
    <w:link w:val="BodyText2"/>
    <w:rsid w:val="00E56EAC"/>
    <w:rPr>
      <w:rFonts w:ascii="Montserrat Medium" w:eastAsia="Calibri" w:hAnsi="Montserrat Medium" w:cs="Times New Roman"/>
      <w:color w:val="36384C"/>
      <w:sz w:val="20"/>
      <w:szCs w:val="20"/>
    </w:rPr>
  </w:style>
  <w:style w:type="paragraph" w:styleId="BodyTextIndent">
    <w:name w:val="Body Text Indent"/>
    <w:basedOn w:val="Normal"/>
    <w:link w:val="BodyTextIndentChar"/>
    <w:rsid w:val="00E56EAC"/>
    <w:pPr>
      <w:ind w:left="283"/>
    </w:pPr>
    <w:rPr>
      <w:rFonts w:ascii="Times New Roman" w:hAnsi="Times New Roman"/>
    </w:rPr>
  </w:style>
  <w:style w:type="character" w:customStyle="1" w:styleId="BodyTextIndentChar">
    <w:name w:val="Body Text Indent Char"/>
    <w:link w:val="BodyTextIndent"/>
    <w:rsid w:val="00E56EAC"/>
    <w:rPr>
      <w:rFonts w:ascii="Times New Roman" w:eastAsia="Calibri" w:hAnsi="Times New Roman" w:cs="Times New Roman"/>
      <w:color w:val="36384C"/>
      <w:sz w:val="20"/>
      <w:szCs w:val="20"/>
    </w:rPr>
  </w:style>
  <w:style w:type="character" w:styleId="BookTitle">
    <w:name w:val="Book Title"/>
    <w:aliases w:val="Webdings - tick cross"/>
    <w:uiPriority w:val="33"/>
    <w:qFormat/>
    <w:rsid w:val="00E56EAC"/>
    <w:rPr>
      <w:rFonts w:ascii="Webdings" w:hAnsi="Webdings"/>
      <w:sz w:val="22"/>
      <w:szCs w:val="22"/>
    </w:rPr>
  </w:style>
  <w:style w:type="paragraph" w:customStyle="1" w:styleId="BulletPoints">
    <w:name w:val="Bullet Points"/>
    <w:basedOn w:val="ListParagraph"/>
    <w:autoRedefine/>
    <w:qFormat/>
    <w:rsid w:val="00E56EAC"/>
    <w:pPr>
      <w:numPr>
        <w:numId w:val="27"/>
      </w:numPr>
      <w:spacing w:before="0" w:after="0"/>
    </w:pPr>
    <w:rPr>
      <w:sz w:val="20"/>
      <w:szCs w:val="20"/>
    </w:rPr>
  </w:style>
  <w:style w:type="paragraph" w:styleId="Caption">
    <w:name w:val="caption"/>
    <w:basedOn w:val="Normal"/>
    <w:rsid w:val="00E56EAC"/>
    <w:pPr>
      <w:suppressLineNumbers/>
    </w:pPr>
    <w:rPr>
      <w:rFonts w:cs="Mangal"/>
      <w:i/>
      <w:iCs/>
      <w:sz w:val="24"/>
      <w:szCs w:val="24"/>
    </w:rPr>
  </w:style>
  <w:style w:type="table" w:styleId="ColourfulGridAccent1">
    <w:name w:val="Colorful Grid Accent 1"/>
    <w:basedOn w:val="TableNormal"/>
    <w:link w:val="ColorfulGrid-Accent1Char"/>
    <w:uiPriority w:val="29"/>
    <w:semiHidden/>
    <w:unhideWhenUsed/>
    <w:rsid w:val="00E56EAC"/>
    <w:rPr>
      <w:rFonts w:eastAsia="Times New Roman" w:cs="Arial"/>
      <w:b/>
      <w:color w:val="C65F1F"/>
      <w:sz w:val="22"/>
      <w:szCs w:val="22"/>
      <w:lang w:eastAsia="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ColorfulGrid-Accent1Char">
    <w:name w:val="Colorful Grid - Accent 1 Char"/>
    <w:link w:val="ColourfulGridAccent1"/>
    <w:uiPriority w:val="29"/>
    <w:semiHidden/>
    <w:rsid w:val="00E56EAC"/>
    <w:rPr>
      <w:rFonts w:eastAsia="Times New Roman" w:cs="Arial"/>
      <w:b/>
      <w:color w:val="C65F1F"/>
      <w:sz w:val="22"/>
      <w:szCs w:val="22"/>
      <w:lang w:eastAsia="en-US"/>
    </w:rPr>
  </w:style>
  <w:style w:type="table" w:styleId="ColourfulListAccent1">
    <w:name w:val="Colorful List Accent 1"/>
    <w:basedOn w:val="TableNormal"/>
    <w:link w:val="ColorfulList-Accent1Char"/>
    <w:uiPriority w:val="34"/>
    <w:semiHidden/>
    <w:unhideWhenUsed/>
    <w:rsid w:val="00E56EAC"/>
    <w:rPr>
      <w:rFonts w:ascii="Calibri" w:eastAsia="Times New Roman" w:hAnsi="Calibri" w:cs="Calibri"/>
      <w:kern w:val="3"/>
      <w:sz w:val="22"/>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lorfulList-Accent1Char">
    <w:name w:val="Colorful List - Accent 1 Char"/>
    <w:link w:val="ColourfulListAccent1"/>
    <w:uiPriority w:val="34"/>
    <w:semiHidden/>
    <w:rsid w:val="00E56EAC"/>
    <w:rPr>
      <w:rFonts w:ascii="Calibri" w:eastAsia="Times New Roman" w:hAnsi="Calibri" w:cs="Calibri"/>
      <w:kern w:val="3"/>
      <w:sz w:val="22"/>
      <w:szCs w:val="22"/>
      <w:lang w:eastAsia="zh-CN"/>
    </w:rPr>
  </w:style>
  <w:style w:type="character" w:styleId="CommentReference">
    <w:name w:val="annotation reference"/>
    <w:uiPriority w:val="99"/>
    <w:unhideWhenUsed/>
    <w:rsid w:val="00E56EAC"/>
    <w:rPr>
      <w:sz w:val="16"/>
      <w:szCs w:val="16"/>
    </w:rPr>
  </w:style>
  <w:style w:type="paragraph" w:styleId="CommentText">
    <w:name w:val="annotation text"/>
    <w:basedOn w:val="Normal"/>
    <w:link w:val="CommentTextChar"/>
    <w:uiPriority w:val="99"/>
    <w:unhideWhenUsed/>
    <w:rsid w:val="00E56EAC"/>
  </w:style>
  <w:style w:type="character" w:customStyle="1" w:styleId="CommentTextChar">
    <w:name w:val="Comment Text Char"/>
    <w:link w:val="CommentText"/>
    <w:uiPriority w:val="99"/>
    <w:rsid w:val="00E56EAC"/>
    <w:rPr>
      <w:rFonts w:ascii="Montserrat Medium" w:eastAsia="Calibri" w:hAnsi="Montserrat Medium" w:cs="Times New Roman"/>
      <w:color w:val="36384C"/>
      <w:sz w:val="20"/>
      <w:szCs w:val="20"/>
    </w:rPr>
  </w:style>
  <w:style w:type="paragraph" w:styleId="CommentSubject">
    <w:name w:val="annotation subject"/>
    <w:basedOn w:val="CommentText"/>
    <w:next w:val="CommentText"/>
    <w:link w:val="CommentSubjectChar"/>
    <w:uiPriority w:val="99"/>
    <w:unhideWhenUsed/>
    <w:rsid w:val="00E56EAC"/>
    <w:rPr>
      <w:b/>
      <w:bCs/>
    </w:rPr>
  </w:style>
  <w:style w:type="character" w:customStyle="1" w:styleId="CommentSubjectChar">
    <w:name w:val="Comment Subject Char"/>
    <w:link w:val="CommentSubject"/>
    <w:uiPriority w:val="99"/>
    <w:rsid w:val="00E56EAC"/>
    <w:rPr>
      <w:rFonts w:ascii="Montserrat Medium" w:eastAsia="Calibri" w:hAnsi="Montserrat Medium" w:cs="Times New Roman"/>
      <w:b/>
      <w:bCs/>
      <w:color w:val="36384C"/>
      <w:sz w:val="20"/>
      <w:szCs w:val="20"/>
    </w:rPr>
  </w:style>
  <w:style w:type="paragraph" w:customStyle="1" w:styleId="DefaultStyle">
    <w:name w:val="Default Style"/>
    <w:link w:val="DefaultStyleChar"/>
    <w:rsid w:val="00E56EAC"/>
    <w:pPr>
      <w:suppressAutoHyphens/>
      <w:spacing w:after="200" w:line="276" w:lineRule="auto"/>
    </w:pPr>
    <w:rPr>
      <w:rFonts w:ascii="Calibri" w:eastAsia="Calibri" w:hAnsi="Calibri" w:cs="Times New Roman"/>
      <w:sz w:val="22"/>
      <w:szCs w:val="22"/>
    </w:rPr>
  </w:style>
  <w:style w:type="character" w:customStyle="1" w:styleId="DefaultStyleChar">
    <w:name w:val="Default Style Char"/>
    <w:link w:val="DefaultStyle"/>
    <w:rsid w:val="00E56EAC"/>
    <w:rPr>
      <w:rFonts w:ascii="Calibri" w:eastAsia="Calibri" w:hAnsi="Calibri" w:cs="Times New Roman"/>
      <w:sz w:val="22"/>
      <w:szCs w:val="22"/>
    </w:rPr>
  </w:style>
  <w:style w:type="paragraph" w:customStyle="1" w:styleId="Contents4">
    <w:name w:val="Contents 4"/>
    <w:basedOn w:val="DefaultStyle"/>
    <w:next w:val="DefaultStyle"/>
    <w:rsid w:val="00E56EAC"/>
    <w:pPr>
      <w:spacing w:after="100" w:line="259" w:lineRule="auto"/>
      <w:jc w:val="both"/>
    </w:pPr>
    <w:rPr>
      <w:rFonts w:eastAsia="Times New Roman" w:cs="Calibri"/>
    </w:rPr>
  </w:style>
  <w:style w:type="paragraph" w:customStyle="1" w:styleId="Default">
    <w:name w:val="Default"/>
    <w:rsid w:val="00E56EAC"/>
    <w:pPr>
      <w:widowControl w:val="0"/>
      <w:autoSpaceDE w:val="0"/>
      <w:autoSpaceDN w:val="0"/>
      <w:adjustRightInd w:val="0"/>
    </w:pPr>
    <w:rPr>
      <w:rFonts w:ascii="Calibri" w:eastAsia="Calibri" w:hAnsi="Calibri" w:cs="Calibri"/>
      <w:color w:val="000000"/>
      <w:lang w:val="en-US" w:eastAsia="en-US"/>
    </w:rPr>
  </w:style>
  <w:style w:type="character" w:customStyle="1" w:styleId="DefaultStyleChar1">
    <w:name w:val="Default Style Char1"/>
    <w:rsid w:val="00E56EAC"/>
    <w:rPr>
      <w:rFonts w:ascii="Calibri" w:eastAsia="Times New Roman" w:hAnsi="Calibri" w:cs="Calibri"/>
      <w:lang w:eastAsia="zh-CN"/>
    </w:rPr>
  </w:style>
  <w:style w:type="character" w:styleId="Emphasis">
    <w:name w:val="Emphasis"/>
    <w:aliases w:val="2nd Sub Title"/>
    <w:uiPriority w:val="20"/>
    <w:qFormat/>
    <w:rsid w:val="00E56EAC"/>
    <w:rPr>
      <w:rFonts w:ascii="Montserrat" w:hAnsi="Montserrat"/>
      <w:b/>
      <w:bCs/>
      <w:sz w:val="21"/>
      <w:szCs w:val="21"/>
      <w:lang w:val="en-US"/>
    </w:rPr>
  </w:style>
  <w:style w:type="character" w:styleId="FollowedHyperlink">
    <w:name w:val="FollowedHyperlink"/>
    <w:rsid w:val="00E56EAC"/>
    <w:rPr>
      <w:color w:val="954F72"/>
      <w:u w:val="single"/>
    </w:rPr>
  </w:style>
  <w:style w:type="paragraph" w:styleId="Footer">
    <w:name w:val="footer"/>
    <w:basedOn w:val="Normal"/>
    <w:link w:val="FooterChar"/>
    <w:uiPriority w:val="99"/>
    <w:rsid w:val="00E56EAC"/>
    <w:pPr>
      <w:tabs>
        <w:tab w:val="center" w:pos="4513"/>
        <w:tab w:val="right" w:pos="9026"/>
      </w:tabs>
    </w:pPr>
    <w:rPr>
      <w:rFonts w:ascii="Calibri" w:hAnsi="Calibri"/>
      <w:color w:val="auto"/>
      <w:sz w:val="22"/>
      <w:szCs w:val="22"/>
      <w:lang w:val="en-US" w:eastAsia="en-US"/>
    </w:rPr>
  </w:style>
  <w:style w:type="character" w:customStyle="1" w:styleId="FooterChar">
    <w:name w:val="Footer Char"/>
    <w:link w:val="Footer"/>
    <w:uiPriority w:val="99"/>
    <w:rsid w:val="00E56EAC"/>
    <w:rPr>
      <w:rFonts w:ascii="Calibri" w:eastAsia="Calibri" w:hAnsi="Calibri" w:cs="Times New Roman"/>
      <w:sz w:val="22"/>
      <w:szCs w:val="22"/>
      <w:lang w:val="en-US" w:eastAsia="en-US"/>
    </w:rPr>
  </w:style>
  <w:style w:type="paragraph" w:styleId="Header">
    <w:name w:val="header"/>
    <w:basedOn w:val="Normal"/>
    <w:link w:val="HeaderChar"/>
    <w:uiPriority w:val="99"/>
    <w:rsid w:val="00E56EAC"/>
    <w:pPr>
      <w:tabs>
        <w:tab w:val="center" w:pos="4513"/>
        <w:tab w:val="right" w:pos="9026"/>
      </w:tabs>
    </w:pPr>
    <w:rPr>
      <w:rFonts w:ascii="Calibri" w:hAnsi="Calibri"/>
      <w:color w:val="auto"/>
      <w:sz w:val="22"/>
      <w:szCs w:val="22"/>
      <w:lang w:val="en-US" w:eastAsia="en-US"/>
    </w:rPr>
  </w:style>
  <w:style w:type="character" w:customStyle="1" w:styleId="HeaderChar">
    <w:name w:val="Header Char"/>
    <w:link w:val="Header"/>
    <w:uiPriority w:val="99"/>
    <w:rsid w:val="00E56EAC"/>
    <w:rPr>
      <w:rFonts w:ascii="Calibri" w:eastAsia="Calibri" w:hAnsi="Calibri" w:cs="Times New Roman"/>
      <w:sz w:val="22"/>
      <w:szCs w:val="22"/>
      <w:lang w:val="en-US" w:eastAsia="en-US"/>
    </w:rPr>
  </w:style>
  <w:style w:type="paragraph" w:customStyle="1" w:styleId="Heading">
    <w:name w:val="Heading"/>
    <w:basedOn w:val="Normal"/>
    <w:next w:val="BodyText"/>
    <w:rsid w:val="00E56EAC"/>
    <w:pPr>
      <w:keepNext/>
      <w:spacing w:before="240"/>
    </w:pPr>
    <w:rPr>
      <w:rFonts w:ascii="Arial" w:eastAsia="Microsoft YaHei" w:hAnsi="Arial" w:cs="Mangal"/>
      <w:sz w:val="28"/>
      <w:szCs w:val="28"/>
    </w:rPr>
  </w:style>
  <w:style w:type="paragraph" w:customStyle="1" w:styleId="Heading11">
    <w:name w:val="Heading 1."/>
    <w:basedOn w:val="Normal"/>
    <w:link w:val="Heading1Char1"/>
    <w:autoRedefine/>
    <w:qFormat/>
    <w:rsid w:val="00E56EAC"/>
    <w:pPr>
      <w:pBdr>
        <w:bottom w:val="single" w:sz="18" w:space="1" w:color="9D3CC4"/>
      </w:pBdr>
      <w:jc w:val="center"/>
    </w:pPr>
    <w:rPr>
      <w:sz w:val="48"/>
      <w:szCs w:val="48"/>
      <w:lang w:eastAsia="en-GB"/>
    </w:rPr>
  </w:style>
  <w:style w:type="character" w:customStyle="1" w:styleId="Heading1Char1">
    <w:name w:val="Heading 1. Char"/>
    <w:link w:val="Heading11"/>
    <w:rsid w:val="00E56EAC"/>
    <w:rPr>
      <w:rFonts w:ascii="Montserrat Medium" w:eastAsia="Calibri" w:hAnsi="Montserrat Medium" w:cs="Times New Roman"/>
      <w:color w:val="36384C"/>
      <w:sz w:val="48"/>
      <w:szCs w:val="48"/>
      <w:lang w:eastAsia="en-GB"/>
    </w:rPr>
  </w:style>
  <w:style w:type="character" w:customStyle="1" w:styleId="Heading3Char">
    <w:name w:val="Heading 3 Char"/>
    <w:basedOn w:val="DefaultParagraphFont"/>
    <w:link w:val="Heading3"/>
    <w:rsid w:val="00E56EAC"/>
    <w:rPr>
      <w:rFonts w:ascii="Cambria" w:eastAsia="Calibri" w:hAnsi="Cambria" w:cs="Times New Roman"/>
      <w:b/>
      <w:bCs/>
      <w:color w:val="4F81BD"/>
      <w:sz w:val="20"/>
      <w:szCs w:val="20"/>
    </w:rPr>
  </w:style>
  <w:style w:type="character" w:customStyle="1" w:styleId="Heading5Char">
    <w:name w:val="Heading 5 Char"/>
    <w:basedOn w:val="DefaultParagraphFont"/>
    <w:link w:val="Heading5"/>
    <w:uiPriority w:val="9"/>
    <w:semiHidden/>
    <w:rsid w:val="00E56EAC"/>
    <w:rPr>
      <w:rFonts w:asciiTheme="majorHAnsi" w:eastAsiaTheme="majorEastAsia" w:hAnsiTheme="majorHAnsi" w:cstheme="majorBidi"/>
      <w:color w:val="2F5496" w:themeColor="accent1" w:themeShade="BF"/>
      <w:sz w:val="20"/>
      <w:szCs w:val="20"/>
    </w:rPr>
  </w:style>
  <w:style w:type="character" w:customStyle="1" w:styleId="Heading7Char">
    <w:name w:val="Heading 7 Char"/>
    <w:basedOn w:val="DefaultParagraphFont"/>
    <w:link w:val="Heading7"/>
    <w:uiPriority w:val="9"/>
    <w:semiHidden/>
    <w:rsid w:val="00E56EAC"/>
    <w:rPr>
      <w:rFonts w:asciiTheme="majorHAnsi" w:eastAsiaTheme="majorEastAsia" w:hAnsiTheme="majorHAnsi" w:cstheme="majorBidi"/>
      <w:i/>
      <w:iCs/>
      <w:color w:val="1F3763" w:themeColor="accent1" w:themeShade="7F"/>
      <w:sz w:val="20"/>
      <w:szCs w:val="20"/>
    </w:rPr>
  </w:style>
  <w:style w:type="character" w:styleId="Hyperlink">
    <w:name w:val="Hyperlink"/>
    <w:uiPriority w:val="99"/>
    <w:rsid w:val="00E56EAC"/>
    <w:rPr>
      <w:color w:val="000080"/>
      <w:u w:val="single"/>
    </w:rPr>
  </w:style>
  <w:style w:type="paragraph" w:customStyle="1" w:styleId="JH1">
    <w:name w:val="JH 1"/>
    <w:basedOn w:val="Heading1"/>
    <w:link w:val="JH1Char"/>
    <w:autoRedefine/>
    <w:rsid w:val="00E56EAC"/>
    <w:pPr>
      <w:pBdr>
        <w:bottom w:val="single" w:sz="12" w:space="2" w:color="92D050"/>
      </w:pBdr>
      <w:tabs>
        <w:tab w:val="left" w:pos="4125"/>
        <w:tab w:val="right" w:pos="9300"/>
      </w:tabs>
      <w:suppressAutoHyphens w:val="0"/>
      <w:spacing w:before="0" w:after="100" w:afterAutospacing="1"/>
      <w:jc w:val="right"/>
    </w:pPr>
    <w:rPr>
      <w:rFonts w:cs="Calibri"/>
      <w:color w:val="656565"/>
      <w:kern w:val="32"/>
      <w:sz w:val="30"/>
      <w:szCs w:val="32"/>
      <w:lang w:eastAsia="en-GB"/>
    </w:rPr>
  </w:style>
  <w:style w:type="character" w:customStyle="1" w:styleId="JH1Char">
    <w:name w:val="JH 1 Char"/>
    <w:link w:val="JH1"/>
    <w:rsid w:val="00E56EAC"/>
    <w:rPr>
      <w:rFonts w:ascii="Montserrat Medium" w:eastAsia="Calibri" w:hAnsi="Montserrat Medium" w:cs="Calibri"/>
      <w:b/>
      <w:color w:val="656565"/>
      <w:kern w:val="32"/>
      <w:sz w:val="30"/>
      <w:szCs w:val="32"/>
      <w:lang w:eastAsia="en-GB"/>
    </w:rPr>
  </w:style>
  <w:style w:type="paragraph" w:styleId="List">
    <w:name w:val="List"/>
    <w:basedOn w:val="BodyText"/>
    <w:rsid w:val="00E56EAC"/>
    <w:rPr>
      <w:rFonts w:cs="Mangal"/>
    </w:rPr>
  </w:style>
  <w:style w:type="paragraph" w:styleId="ListBullet">
    <w:name w:val="List Bullet"/>
    <w:aliases w:val="List Bullet Char,Char Char Char Char,Char Char Char2,Char Char2,Char Char Char Char Char Char1,Char Char Char Char Char Char Char Char Char Char,Char Char Char Char Char Char Char,List Bullet1 Char,Char Char Char1 Char,Char Char1 Char,Char,C"/>
    <w:link w:val="ListBulletChar1"/>
    <w:rsid w:val="00E56EAC"/>
    <w:pPr>
      <w:numPr>
        <w:numId w:val="29"/>
      </w:numPr>
      <w:spacing w:after="170"/>
      <w:jc w:val="both"/>
    </w:pPr>
    <w:rPr>
      <w:rFonts w:ascii="Arial" w:eastAsia="Times New Roman" w:hAnsi="Arial" w:cs="Arial"/>
      <w:sz w:val="22"/>
      <w:lang w:eastAsia="en-US"/>
    </w:rPr>
  </w:style>
  <w:style w:type="character" w:customStyle="1" w:styleId="ListBulletChar1">
    <w:name w:val="List Bullet Char1"/>
    <w:aliases w:val="List Bullet Char Char,Char Char Char Char Char,Char Char Char2 Char,Char Char2 Char,Char Char Char Char Char Char1 Char,Char Char Char Char Char Char Char Char Char Char Char,Char Char Char Char Char Char Char Char,Char Char1 Char Char"/>
    <w:link w:val="ListBullet"/>
    <w:rsid w:val="00E56EAC"/>
    <w:rPr>
      <w:rFonts w:ascii="Arial" w:eastAsia="Times New Roman" w:hAnsi="Arial" w:cs="Arial"/>
      <w:sz w:val="22"/>
      <w:lang w:eastAsia="en-US"/>
    </w:rPr>
  </w:style>
  <w:style w:type="paragraph" w:customStyle="1" w:styleId="ms-rtecustom-para2">
    <w:name w:val="ms-rtecustom-para2"/>
    <w:basedOn w:val="Normal"/>
    <w:rsid w:val="00E56EAC"/>
    <w:pPr>
      <w:spacing w:before="100" w:beforeAutospacing="1" w:after="100" w:afterAutospacing="1"/>
    </w:pPr>
    <w:rPr>
      <w:rFonts w:ascii="Times New Roman" w:hAnsi="Times New Roman"/>
    </w:rPr>
  </w:style>
  <w:style w:type="paragraph" w:styleId="NoSpacing">
    <w:name w:val="No Spacing"/>
    <w:uiPriority w:val="1"/>
    <w:qFormat/>
    <w:rsid w:val="00E56EAC"/>
    <w:pPr>
      <w:suppressAutoHyphens/>
    </w:pPr>
    <w:rPr>
      <w:rFonts w:ascii="Calibri" w:eastAsia="Calibri" w:hAnsi="Calibri" w:cs="Times New Roman"/>
      <w:sz w:val="22"/>
      <w:szCs w:val="22"/>
    </w:rPr>
  </w:style>
  <w:style w:type="paragraph" w:styleId="NormalWeb">
    <w:name w:val="Normal (Web)"/>
    <w:aliases w:val="Normal (Web) Char,Normal (Web) Char1 Char1,Normal (Web) Char Char Char,Normal (Web) Char1 Char Char,Normal (Web) Char2 Char Char Char Char,Normal (Web) Char Char1 Char Char Char Char,Normal (Web) Char2 Char Char1 Char Char Char Char, Char1"/>
    <w:basedOn w:val="BodyText"/>
    <w:link w:val="NormalWebChar1"/>
    <w:rsid w:val="00E56EAC"/>
  </w:style>
  <w:style w:type="character" w:customStyle="1" w:styleId="NormalWebChar1">
    <w:name w:val="Normal (Web) Char1"/>
    <w:aliases w:val="Normal (Web) Char Char,Normal (Web) Char1 Char1 Char,Normal (Web) Char Char Char Char,Normal (Web) Char1 Char Char Char,Normal (Web) Char2 Char Char Char Char Char,Normal (Web) Char Char1 Char Char Char Char Char, Char1 Char"/>
    <w:link w:val="NormalWeb"/>
    <w:rsid w:val="00E56EAC"/>
    <w:rPr>
      <w:rFonts w:ascii="Montserrat Medium" w:eastAsia="Calibri" w:hAnsi="Montserrat Medium" w:cs="Times New Roman"/>
      <w:color w:val="36384C"/>
      <w:sz w:val="20"/>
      <w:szCs w:val="20"/>
    </w:rPr>
  </w:style>
  <w:style w:type="paragraph" w:customStyle="1" w:styleId="Normal10">
    <w:name w:val="Normal 10"/>
    <w:basedOn w:val="Normal"/>
    <w:link w:val="Normal10Char"/>
    <w:rsid w:val="00E56EAC"/>
    <w:pPr>
      <w:jc w:val="left"/>
    </w:pPr>
  </w:style>
  <w:style w:type="character" w:customStyle="1" w:styleId="Normal10Char">
    <w:name w:val="Normal 10 Char"/>
    <w:link w:val="Normal10"/>
    <w:rsid w:val="00E56EAC"/>
    <w:rPr>
      <w:rFonts w:ascii="Montserrat Medium" w:eastAsia="Calibri" w:hAnsi="Montserrat Medium" w:cs="Times New Roman"/>
      <w:color w:val="36384C"/>
      <w:sz w:val="20"/>
      <w:szCs w:val="20"/>
    </w:rPr>
  </w:style>
  <w:style w:type="character" w:customStyle="1" w:styleId="NumberingSymbols">
    <w:name w:val="Numbering Symbols"/>
    <w:rsid w:val="00E56EAC"/>
  </w:style>
  <w:style w:type="paragraph" w:customStyle="1" w:styleId="Numbers">
    <w:name w:val="Numbers"/>
    <w:basedOn w:val="ListParagraph"/>
    <w:autoRedefine/>
    <w:qFormat/>
    <w:rsid w:val="00E56EAC"/>
    <w:pPr>
      <w:numPr>
        <w:numId w:val="30"/>
      </w:numPr>
    </w:pPr>
    <w:rPr>
      <w:sz w:val="20"/>
      <w:szCs w:val="20"/>
      <w:lang w:eastAsia="en-US"/>
    </w:rPr>
  </w:style>
  <w:style w:type="paragraph" w:customStyle="1" w:styleId="Orange10">
    <w:name w:val="Orange 10"/>
    <w:basedOn w:val="1OrangeSubheading"/>
    <w:link w:val="Orange10Char"/>
    <w:rsid w:val="00E56EAC"/>
  </w:style>
  <w:style w:type="character" w:customStyle="1" w:styleId="Orange10Char">
    <w:name w:val="Orange 10 Char"/>
    <w:link w:val="Orange10"/>
    <w:rsid w:val="00E56EAC"/>
    <w:rPr>
      <w:rFonts w:ascii="Montserrat Medium" w:eastAsia="Calibri" w:hAnsi="Montserrat Medium" w:cs="Arial"/>
      <w:b/>
      <w:color w:val="C65F1F"/>
      <w:sz w:val="20"/>
      <w:szCs w:val="20"/>
    </w:rPr>
  </w:style>
  <w:style w:type="paragraph" w:customStyle="1" w:styleId="Orange11Left">
    <w:name w:val="Orange 11 Left"/>
    <w:basedOn w:val="OvationSubheading"/>
    <w:next w:val="Contents4"/>
    <w:rsid w:val="00E56EAC"/>
    <w:pPr>
      <w:spacing w:line="100" w:lineRule="atLeast"/>
      <w:jc w:val="left"/>
    </w:pPr>
  </w:style>
  <w:style w:type="paragraph" w:customStyle="1" w:styleId="Orange11Middle">
    <w:name w:val="Orange 11 Middle"/>
    <w:basedOn w:val="1OrangeSubheading"/>
    <w:link w:val="Orange11MiddleChar"/>
    <w:rsid w:val="00E56EAC"/>
    <w:pPr>
      <w:jc w:val="center"/>
    </w:pPr>
  </w:style>
  <w:style w:type="character" w:customStyle="1" w:styleId="Orange11MiddleChar">
    <w:name w:val="Orange 11 Middle Char"/>
    <w:link w:val="Orange11Middle"/>
    <w:rsid w:val="00E56EAC"/>
    <w:rPr>
      <w:rFonts w:ascii="Montserrat Medium" w:eastAsia="Calibri" w:hAnsi="Montserrat Medium" w:cs="Arial"/>
      <w:b/>
      <w:color w:val="C65F1F"/>
      <w:sz w:val="20"/>
      <w:szCs w:val="20"/>
    </w:rPr>
  </w:style>
  <w:style w:type="paragraph" w:customStyle="1" w:styleId="OvationBodyText1">
    <w:name w:val="Ovation Body Text 1"/>
    <w:basedOn w:val="Normal"/>
    <w:link w:val="OvationBodyText1Char"/>
    <w:rsid w:val="00E56EAC"/>
    <w:pPr>
      <w:spacing w:after="0"/>
    </w:pPr>
    <w:rPr>
      <w:rFonts w:cs="Arial"/>
    </w:rPr>
  </w:style>
  <w:style w:type="character" w:customStyle="1" w:styleId="OvationBodyText1Char">
    <w:name w:val="Ovation Body Text 1 Char"/>
    <w:link w:val="OvationBodyText1"/>
    <w:rsid w:val="00E56EAC"/>
    <w:rPr>
      <w:rFonts w:ascii="Montserrat Medium" w:eastAsia="Calibri" w:hAnsi="Montserrat Medium" w:cs="Arial"/>
      <w:color w:val="36384C"/>
      <w:sz w:val="20"/>
      <w:szCs w:val="20"/>
    </w:rPr>
  </w:style>
  <w:style w:type="paragraph" w:customStyle="1" w:styleId="Ovationbodytext10">
    <w:name w:val="Ovation body text 1"/>
    <w:basedOn w:val="Normal"/>
    <w:link w:val="Ovationbodytext1Char0"/>
    <w:rsid w:val="00E56EAC"/>
    <w:rPr>
      <w:rFonts w:cs="Arial"/>
    </w:rPr>
  </w:style>
  <w:style w:type="character" w:customStyle="1" w:styleId="Ovationbodytext1Char0">
    <w:name w:val="Ovation body text 1 Char"/>
    <w:link w:val="Ovationbodytext10"/>
    <w:rsid w:val="00E56EAC"/>
    <w:rPr>
      <w:rFonts w:ascii="Montserrat Medium" w:eastAsia="Calibri" w:hAnsi="Montserrat Medium" w:cs="Arial"/>
      <w:color w:val="36384C"/>
      <w:sz w:val="20"/>
      <w:szCs w:val="20"/>
    </w:rPr>
  </w:style>
  <w:style w:type="paragraph" w:customStyle="1" w:styleId="Ovationbodytext1-beforetable">
    <w:name w:val="Ovation body text 1 - before table"/>
    <w:basedOn w:val="Ovationbodytext10"/>
    <w:link w:val="Ovationbodytext1-beforetableChar"/>
    <w:rsid w:val="00E56EAC"/>
  </w:style>
  <w:style w:type="character" w:customStyle="1" w:styleId="Ovationbodytext1-beforetableChar">
    <w:name w:val="Ovation body text 1 - before table Char"/>
    <w:link w:val="Ovationbodytext1-beforetable"/>
    <w:rsid w:val="00E56EAC"/>
    <w:rPr>
      <w:rFonts w:ascii="Montserrat Medium" w:eastAsia="Calibri" w:hAnsi="Montserrat Medium" w:cs="Arial"/>
      <w:color w:val="36384C"/>
      <w:sz w:val="20"/>
      <w:szCs w:val="20"/>
    </w:rPr>
  </w:style>
  <w:style w:type="character" w:customStyle="1" w:styleId="OvationBodyText1Char1">
    <w:name w:val="Ovation Body Text 1 Char1"/>
    <w:rsid w:val="00E56EAC"/>
    <w:rPr>
      <w:rFonts w:ascii="Calibri" w:eastAsia="Times New Roman" w:hAnsi="Calibri" w:cs="Arial"/>
      <w:lang w:eastAsia="zh-CN"/>
    </w:rPr>
  </w:style>
  <w:style w:type="paragraph" w:customStyle="1" w:styleId="OvationBodytext2">
    <w:name w:val="Ovation Body text 2"/>
    <w:basedOn w:val="Normal"/>
    <w:next w:val="TOC4"/>
    <w:link w:val="OvationBodytext2Char"/>
    <w:rsid w:val="00E56EAC"/>
    <w:pPr>
      <w:spacing w:after="0"/>
    </w:pPr>
    <w:rPr>
      <w:rFonts w:cs="Arial"/>
      <w:b/>
      <w:color w:val="C65F1F"/>
      <w:lang w:eastAsia="en-GB"/>
    </w:rPr>
  </w:style>
  <w:style w:type="character" w:customStyle="1" w:styleId="OvationBodytext2Char">
    <w:name w:val="Ovation Body text 2 Char"/>
    <w:link w:val="OvationBodytext2"/>
    <w:rsid w:val="00E56EAC"/>
    <w:rPr>
      <w:rFonts w:ascii="Montserrat Medium" w:eastAsia="Calibri" w:hAnsi="Montserrat Medium" w:cs="Arial"/>
      <w:b/>
      <w:color w:val="C65F1F"/>
      <w:sz w:val="20"/>
      <w:szCs w:val="20"/>
      <w:lang w:eastAsia="en-GB"/>
    </w:rPr>
  </w:style>
  <w:style w:type="paragraph" w:customStyle="1" w:styleId="Ovationbodytextbold">
    <w:name w:val="Ovation body text bold"/>
    <w:basedOn w:val="OvationBodyText1"/>
    <w:link w:val="OvationbodytextboldChar"/>
    <w:rsid w:val="00E56EAC"/>
    <w:rPr>
      <w:b/>
    </w:rPr>
  </w:style>
  <w:style w:type="character" w:customStyle="1" w:styleId="OvationbodytextboldChar">
    <w:name w:val="Ovation body text bold Char"/>
    <w:link w:val="Ovationbodytextbold"/>
    <w:rsid w:val="00E56EAC"/>
    <w:rPr>
      <w:rFonts w:ascii="Montserrat Medium" w:eastAsia="Calibri" w:hAnsi="Montserrat Medium" w:cs="Arial"/>
      <w:b/>
      <w:color w:val="36384C"/>
      <w:sz w:val="20"/>
      <w:szCs w:val="20"/>
    </w:rPr>
  </w:style>
  <w:style w:type="paragraph" w:customStyle="1" w:styleId="Ovationbullet1">
    <w:name w:val="Ovation bullet 1"/>
    <w:basedOn w:val="Normal"/>
    <w:link w:val="Ovationbullet1Char"/>
    <w:rsid w:val="00E56EAC"/>
    <w:pPr>
      <w:numPr>
        <w:numId w:val="31"/>
      </w:numPr>
      <w:spacing w:after="0"/>
    </w:pPr>
    <w:rPr>
      <w:rFonts w:cs="Arial"/>
    </w:rPr>
  </w:style>
  <w:style w:type="character" w:customStyle="1" w:styleId="Ovationbullet1Char">
    <w:name w:val="Ovation bullet 1 Char"/>
    <w:link w:val="Ovationbullet1"/>
    <w:rsid w:val="00E56EAC"/>
    <w:rPr>
      <w:rFonts w:ascii="Montserrat Medium" w:eastAsia="Calibri" w:hAnsi="Montserrat Medium" w:cs="Arial"/>
      <w:color w:val="36384C"/>
      <w:sz w:val="20"/>
      <w:szCs w:val="20"/>
    </w:rPr>
  </w:style>
  <w:style w:type="paragraph" w:styleId="PlainText">
    <w:name w:val="Plain Text"/>
    <w:basedOn w:val="Normal"/>
    <w:link w:val="PlainTextChar"/>
    <w:rsid w:val="00E56EAC"/>
    <w:pPr>
      <w:spacing w:after="0"/>
    </w:pPr>
    <w:rPr>
      <w:rFonts w:ascii="Consolas" w:hAnsi="Consolas" w:cs="Consolas"/>
      <w:sz w:val="21"/>
      <w:szCs w:val="21"/>
    </w:rPr>
  </w:style>
  <w:style w:type="character" w:customStyle="1" w:styleId="PlainTextChar">
    <w:name w:val="Plain Text Char"/>
    <w:link w:val="PlainText"/>
    <w:rsid w:val="00E56EAC"/>
    <w:rPr>
      <w:rFonts w:ascii="Consolas" w:eastAsia="Calibri" w:hAnsi="Consolas" w:cs="Consolas"/>
      <w:color w:val="36384C"/>
      <w:sz w:val="21"/>
      <w:szCs w:val="21"/>
    </w:rPr>
  </w:style>
  <w:style w:type="paragraph" w:customStyle="1" w:styleId="Ovationquote">
    <w:name w:val="Ovation quote"/>
    <w:basedOn w:val="PlainText"/>
    <w:link w:val="OvationquoteChar"/>
    <w:rsid w:val="00E56EAC"/>
    <w:pPr>
      <w:spacing w:after="120"/>
      <w:jc w:val="center"/>
    </w:pPr>
    <w:rPr>
      <w:rFonts w:ascii="Calibri" w:hAnsi="Calibri" w:cs="Arial"/>
      <w:i/>
      <w:color w:val="808080"/>
      <w:sz w:val="22"/>
      <w:szCs w:val="22"/>
    </w:rPr>
  </w:style>
  <w:style w:type="character" w:customStyle="1" w:styleId="OvationquoteChar">
    <w:name w:val="Ovation quote Char"/>
    <w:link w:val="Ovationquote"/>
    <w:rsid w:val="00E56EAC"/>
    <w:rPr>
      <w:rFonts w:ascii="Calibri" w:eastAsia="Calibri" w:hAnsi="Calibri" w:cs="Arial"/>
      <w:i/>
      <w:color w:val="808080"/>
      <w:sz w:val="22"/>
      <w:szCs w:val="22"/>
    </w:rPr>
  </w:style>
  <w:style w:type="paragraph" w:customStyle="1" w:styleId="OvatioNSubSubHeading">
    <w:name w:val="OvatioN Sub Sub Heading"/>
    <w:basedOn w:val="Normal"/>
    <w:link w:val="OvatioNSubSubHeadingChar"/>
    <w:rsid w:val="00E56EAC"/>
    <w:pPr>
      <w:spacing w:before="240"/>
    </w:pPr>
    <w:rPr>
      <w:rFonts w:cs="Arial"/>
      <w:b/>
      <w:color w:val="C65F1F"/>
    </w:rPr>
  </w:style>
  <w:style w:type="character" w:customStyle="1" w:styleId="OvatioNSubSubHeadingChar">
    <w:name w:val="OvatioN Sub Sub Heading Char"/>
    <w:link w:val="OvatioNSubSubHeading"/>
    <w:rsid w:val="00E56EAC"/>
    <w:rPr>
      <w:rFonts w:ascii="Montserrat Medium" w:eastAsia="Calibri" w:hAnsi="Montserrat Medium" w:cs="Arial"/>
      <w:b/>
      <w:color w:val="C65F1F"/>
      <w:sz w:val="20"/>
      <w:szCs w:val="20"/>
    </w:rPr>
  </w:style>
  <w:style w:type="paragraph" w:customStyle="1" w:styleId="Ovationtablebodytext">
    <w:name w:val="Ovation table body text"/>
    <w:basedOn w:val="Normal"/>
    <w:link w:val="OvationtablebodytextChar"/>
    <w:rsid w:val="00E56EAC"/>
    <w:pPr>
      <w:spacing w:after="0"/>
    </w:pPr>
    <w:rPr>
      <w:rFonts w:ascii="Arial" w:hAnsi="Arial" w:cs="Arial"/>
      <w:b/>
      <w:lang w:val="en-US"/>
    </w:rPr>
  </w:style>
  <w:style w:type="character" w:customStyle="1" w:styleId="OvationtablebodytextChar">
    <w:name w:val="Ovation table body text Char"/>
    <w:link w:val="Ovationtablebodytext"/>
    <w:rsid w:val="00E56EAC"/>
    <w:rPr>
      <w:rFonts w:ascii="Arial" w:eastAsia="Calibri" w:hAnsi="Arial" w:cs="Arial"/>
      <w:b/>
      <w:color w:val="36384C"/>
      <w:sz w:val="20"/>
      <w:szCs w:val="20"/>
      <w:lang w:val="en-US"/>
    </w:rPr>
  </w:style>
  <w:style w:type="paragraph" w:customStyle="1" w:styleId="Ovationtableheader">
    <w:name w:val="Ovation table header"/>
    <w:basedOn w:val="Normal"/>
    <w:link w:val="OvationtableheaderChar"/>
    <w:rsid w:val="00E56EAC"/>
    <w:pPr>
      <w:spacing w:after="0"/>
    </w:pPr>
    <w:rPr>
      <w:rFonts w:ascii="Arial" w:hAnsi="Arial" w:cs="Arial"/>
      <w:b/>
      <w:color w:val="FFFFFF"/>
      <w:lang w:val="en-US"/>
    </w:rPr>
  </w:style>
  <w:style w:type="character" w:customStyle="1" w:styleId="OvationtableheaderChar">
    <w:name w:val="Ovation table header Char"/>
    <w:link w:val="Ovationtableheader"/>
    <w:rsid w:val="00E56EAC"/>
    <w:rPr>
      <w:rFonts w:ascii="Arial" w:eastAsia="Calibri" w:hAnsi="Arial" w:cs="Arial"/>
      <w:b/>
      <w:color w:val="FFFFFF"/>
      <w:sz w:val="20"/>
      <w:szCs w:val="20"/>
      <w:lang w:val="en-US"/>
    </w:rPr>
  </w:style>
  <w:style w:type="paragraph" w:customStyle="1" w:styleId="Ovationwarning">
    <w:name w:val="Ovation warning"/>
    <w:basedOn w:val="BodyText2"/>
    <w:link w:val="OvationwarningChar"/>
    <w:rsid w:val="00E56EAC"/>
    <w:pPr>
      <w:pBdr>
        <w:top w:val="single" w:sz="24" w:space="1" w:color="FF0000"/>
        <w:left w:val="single" w:sz="24" w:space="4" w:color="FF0000"/>
        <w:bottom w:val="single" w:sz="24" w:space="1" w:color="FF0000"/>
        <w:right w:val="single" w:sz="24" w:space="31" w:color="FF0000"/>
      </w:pBdr>
      <w:spacing w:after="0" w:line="240" w:lineRule="auto"/>
      <w:ind w:left="-426"/>
    </w:pPr>
    <w:rPr>
      <w:rFonts w:cs="Arial"/>
      <w:b/>
    </w:rPr>
  </w:style>
  <w:style w:type="character" w:customStyle="1" w:styleId="OvationwarningChar">
    <w:name w:val="Ovation warning Char"/>
    <w:link w:val="Ovationwarning"/>
    <w:rsid w:val="00E56EAC"/>
    <w:rPr>
      <w:rFonts w:ascii="Montserrat Medium" w:eastAsia="Calibri" w:hAnsi="Montserrat Medium" w:cs="Arial"/>
      <w:b/>
      <w:color w:val="36384C"/>
      <w:sz w:val="20"/>
      <w:szCs w:val="20"/>
    </w:rPr>
  </w:style>
  <w:style w:type="paragraph" w:customStyle="1" w:styleId="OvationSubHeading0">
    <w:name w:val="OvationSubHeading"/>
    <w:basedOn w:val="Normal"/>
    <w:link w:val="OvationSubHeadingChar0"/>
    <w:rsid w:val="00E56EAC"/>
    <w:pPr>
      <w:pBdr>
        <w:bottom w:val="single" w:sz="12" w:space="1" w:color="0000FF"/>
      </w:pBdr>
    </w:pPr>
    <w:rPr>
      <w:b/>
      <w:color w:val="0000FF"/>
    </w:rPr>
  </w:style>
  <w:style w:type="character" w:customStyle="1" w:styleId="OvationSubHeadingChar0">
    <w:name w:val="OvationSubHeading Char"/>
    <w:link w:val="OvationSubHeading0"/>
    <w:rsid w:val="00E56EAC"/>
    <w:rPr>
      <w:rFonts w:ascii="Montserrat Medium" w:eastAsia="Calibri" w:hAnsi="Montserrat Medium" w:cs="Times New Roman"/>
      <w:b/>
      <w:color w:val="0000FF"/>
      <w:sz w:val="20"/>
      <w:szCs w:val="20"/>
    </w:rPr>
  </w:style>
  <w:style w:type="character" w:styleId="PageNumber">
    <w:name w:val="page number"/>
    <w:rsid w:val="00E56EAC"/>
  </w:style>
  <w:style w:type="character" w:customStyle="1" w:styleId="QuoteChar1">
    <w:name w:val="Quote Char1"/>
    <w:uiPriority w:val="29"/>
    <w:rsid w:val="00E56EAC"/>
    <w:rPr>
      <w:rFonts w:ascii="Calibri" w:eastAsia="Times New Roman" w:hAnsi="Calibri" w:cs="Arial"/>
      <w:b/>
      <w:color w:val="C65F1F"/>
      <w:lang w:eastAsia="zh-CN"/>
    </w:rPr>
  </w:style>
  <w:style w:type="paragraph" w:customStyle="1" w:styleId="QuoteFJ">
    <w:name w:val="Quote FJ"/>
    <w:basedOn w:val="Normal"/>
    <w:qFormat/>
    <w:rsid w:val="00E56EAC"/>
    <w:pPr>
      <w:jc w:val="center"/>
    </w:pPr>
    <w:rPr>
      <w:rFonts w:ascii="Montserrat Light" w:hAnsi="Montserrat Light"/>
      <w:i/>
      <w:iCs/>
      <w:sz w:val="28"/>
      <w:szCs w:val="28"/>
    </w:rPr>
  </w:style>
  <w:style w:type="paragraph" w:styleId="Quote">
    <w:name w:val="Quote"/>
    <w:aliases w:val="Title 2"/>
    <w:basedOn w:val="Normal"/>
    <w:next w:val="Normal"/>
    <w:link w:val="QuoteChar"/>
    <w:uiPriority w:val="29"/>
    <w:qFormat/>
    <w:rsid w:val="00E56EAC"/>
    <w:pPr>
      <w:jc w:val="center"/>
    </w:pPr>
    <w:rPr>
      <w:sz w:val="64"/>
      <w:szCs w:val="64"/>
      <w:lang w:eastAsia="en-GB"/>
    </w:rPr>
  </w:style>
  <w:style w:type="character" w:customStyle="1" w:styleId="QuoteChar">
    <w:name w:val="Quote Char"/>
    <w:aliases w:val="Title 2 Char"/>
    <w:link w:val="Quote"/>
    <w:uiPriority w:val="29"/>
    <w:rsid w:val="00E56EAC"/>
    <w:rPr>
      <w:rFonts w:ascii="Montserrat Medium" w:eastAsia="Calibri" w:hAnsi="Montserrat Medium" w:cs="Times New Roman"/>
      <w:color w:val="36384C"/>
      <w:sz w:val="64"/>
      <w:szCs w:val="64"/>
      <w:lang w:eastAsia="en-GB"/>
    </w:rPr>
  </w:style>
  <w:style w:type="paragraph" w:customStyle="1" w:styleId="Standard">
    <w:name w:val="Standard"/>
    <w:rsid w:val="00E56EAC"/>
    <w:pPr>
      <w:suppressAutoHyphens/>
      <w:autoSpaceDN w:val="0"/>
    </w:pPr>
    <w:rPr>
      <w:rFonts w:ascii="Times New Roman" w:eastAsia="Times New Roman" w:hAnsi="Times New Roman" w:cs="Times New Roman"/>
      <w:kern w:val="3"/>
    </w:rPr>
  </w:style>
  <w:style w:type="character" w:styleId="Strong">
    <w:name w:val="Strong"/>
    <w:aliases w:val="Source"/>
    <w:uiPriority w:val="22"/>
    <w:qFormat/>
    <w:rsid w:val="00E56EAC"/>
    <w:rPr>
      <w:i/>
      <w:iCs/>
      <w:noProof/>
      <w:lang w:val="en-US" w:eastAsia="en-US"/>
    </w:rPr>
  </w:style>
  <w:style w:type="paragraph" w:customStyle="1" w:styleId="StyleHeading1withRedunderline">
    <w:name w:val="Style Heading 1 with  Red underline"/>
    <w:basedOn w:val="Heading1"/>
    <w:rsid w:val="00E56EAC"/>
    <w:pPr>
      <w:pBdr>
        <w:bottom w:val="single" w:sz="24" w:space="1" w:color="FF0000"/>
      </w:pBdr>
    </w:pPr>
    <w:rPr>
      <w:sz w:val="24"/>
      <w:szCs w:val="24"/>
    </w:rPr>
  </w:style>
  <w:style w:type="paragraph" w:customStyle="1" w:styleId="Style1">
    <w:name w:val="Style1"/>
    <w:basedOn w:val="Normal"/>
    <w:link w:val="Style1Char"/>
    <w:rsid w:val="00E56EAC"/>
  </w:style>
  <w:style w:type="character" w:customStyle="1" w:styleId="Style1Char">
    <w:name w:val="Style1 Char"/>
    <w:link w:val="Style1"/>
    <w:rsid w:val="00E56EAC"/>
    <w:rPr>
      <w:rFonts w:ascii="Montserrat Medium" w:eastAsia="Calibri" w:hAnsi="Montserrat Medium" w:cs="Times New Roman"/>
      <w:color w:val="36384C"/>
      <w:sz w:val="20"/>
      <w:szCs w:val="20"/>
    </w:rPr>
  </w:style>
  <w:style w:type="paragraph" w:customStyle="1" w:styleId="Style2">
    <w:name w:val="Style2"/>
    <w:basedOn w:val="Normal"/>
    <w:link w:val="Style2Char"/>
    <w:rsid w:val="00E56EAC"/>
    <w:rPr>
      <w:rFonts w:eastAsia="Cambria"/>
      <w:b/>
      <w:color w:val="A6A6A6"/>
      <w:sz w:val="28"/>
      <w:szCs w:val="28"/>
    </w:rPr>
  </w:style>
  <w:style w:type="character" w:customStyle="1" w:styleId="Style2Char">
    <w:name w:val="Style2 Char"/>
    <w:link w:val="Style2"/>
    <w:rsid w:val="00E56EAC"/>
    <w:rPr>
      <w:rFonts w:ascii="Montserrat Medium" w:eastAsia="Cambria" w:hAnsi="Montserrat Medium" w:cs="Times New Roman"/>
      <w:b/>
      <w:color w:val="A6A6A6"/>
      <w:sz w:val="28"/>
      <w:szCs w:val="28"/>
    </w:rPr>
  </w:style>
  <w:style w:type="character" w:customStyle="1" w:styleId="Style2Char1">
    <w:name w:val="Style2 Char1"/>
    <w:rsid w:val="00E56EAC"/>
    <w:rPr>
      <w:rFonts w:eastAsia="Cambria"/>
      <w:b/>
      <w:color w:val="A6A6A6"/>
      <w:sz w:val="28"/>
      <w:szCs w:val="28"/>
      <w:lang w:eastAsia="zh-CN"/>
    </w:rPr>
  </w:style>
  <w:style w:type="paragraph" w:customStyle="1" w:styleId="TitleCover">
    <w:name w:val="Title Cover"/>
    <w:basedOn w:val="Normal"/>
    <w:next w:val="Normal"/>
    <w:rsid w:val="00E56EAC"/>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E56EAC"/>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Subtitle">
    <w:name w:val="Subtitle"/>
    <w:aliases w:val="Bullet Point"/>
    <w:basedOn w:val="Normal"/>
    <w:next w:val="Normal"/>
    <w:link w:val="SubtitleChar"/>
    <w:uiPriority w:val="11"/>
    <w:rsid w:val="00E56EAC"/>
    <w:pPr>
      <w:numPr>
        <w:numId w:val="32"/>
      </w:numPr>
    </w:pPr>
    <w:rPr>
      <w:rFonts w:ascii="Times New Roman" w:hAnsi="Times New Roman"/>
      <w:sz w:val="21"/>
    </w:rPr>
  </w:style>
  <w:style w:type="character" w:customStyle="1" w:styleId="SubtitleChar">
    <w:name w:val="Subtitle Char"/>
    <w:aliases w:val="Bullet Point Char"/>
    <w:link w:val="Subtitle"/>
    <w:uiPriority w:val="11"/>
    <w:rsid w:val="00E56EAC"/>
    <w:rPr>
      <w:rFonts w:ascii="Times New Roman" w:eastAsia="Calibri" w:hAnsi="Times New Roman" w:cs="Times New Roman"/>
      <w:color w:val="36384C"/>
      <w:sz w:val="21"/>
      <w:szCs w:val="20"/>
    </w:rPr>
  </w:style>
  <w:style w:type="character" w:styleId="SubtleEmphasis">
    <w:name w:val="Subtle Emphasis"/>
    <w:uiPriority w:val="19"/>
    <w:rsid w:val="00E56EAC"/>
    <w:rPr>
      <w:i/>
      <w:iCs/>
      <w:color w:val="404040"/>
    </w:rPr>
  </w:style>
  <w:style w:type="character" w:styleId="SubtleReference">
    <w:name w:val="Subtle Reference"/>
    <w:uiPriority w:val="31"/>
    <w:rsid w:val="00E56EAC"/>
    <w:rPr>
      <w:smallCaps/>
      <w:color w:val="5A5A5A"/>
    </w:rPr>
  </w:style>
  <w:style w:type="paragraph" w:customStyle="1" w:styleId="TableContents">
    <w:name w:val="Table Contents"/>
    <w:basedOn w:val="Normal"/>
    <w:rsid w:val="00E56EAC"/>
    <w:pPr>
      <w:suppressLineNumbers/>
    </w:pPr>
  </w:style>
  <w:style w:type="table" w:styleId="TableGrid">
    <w:name w:val="Table Grid"/>
    <w:basedOn w:val="TableNormal"/>
    <w:uiPriority w:val="39"/>
    <w:rsid w:val="00E56EAC"/>
    <w:rPr>
      <w:rFonts w:ascii="Calibri" w:eastAsia="Yu Mincho"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6EAC"/>
    <w:pPr>
      <w:widowControl w:val="0"/>
    </w:pPr>
    <w:rPr>
      <w:rFonts w:ascii="Cambria" w:eastAsia="Cambria" w:hAnsi="Cambria"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EAC"/>
    <w:pPr>
      <w:widowControl w:val="0"/>
    </w:pPr>
    <w:rPr>
      <w:rFonts w:ascii="Cambria" w:eastAsia="Cambria" w:hAnsi="Cambria"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autoRedefine/>
    <w:qFormat/>
    <w:rsid w:val="00E56EAC"/>
    <w:pPr>
      <w:pBdr>
        <w:bottom w:val="single" w:sz="18" w:space="1" w:color="9D3CC4"/>
      </w:pBdr>
      <w:jc w:val="center"/>
    </w:pPr>
    <w:rPr>
      <w:sz w:val="92"/>
      <w:szCs w:val="92"/>
      <w:lang w:eastAsia="en-GB"/>
    </w:rPr>
  </w:style>
  <w:style w:type="paragraph" w:styleId="Title">
    <w:name w:val="Title"/>
    <w:aliases w:val="1st Sub Title"/>
    <w:basedOn w:val="BodyText"/>
    <w:next w:val="Normal"/>
    <w:link w:val="TitleChar"/>
    <w:autoRedefine/>
    <w:uiPriority w:val="10"/>
    <w:qFormat/>
    <w:rsid w:val="00E56EAC"/>
    <w:pPr>
      <w:spacing w:before="240"/>
      <w:jc w:val="left"/>
    </w:pPr>
    <w:rPr>
      <w:rFonts w:cs="Times New Roman Bold"/>
      <w:b/>
      <w:bCs/>
      <w:sz w:val="22"/>
      <w:szCs w:val="22"/>
      <w:u w:val="thick" w:color="9D3CC4"/>
    </w:rPr>
  </w:style>
  <w:style w:type="character" w:customStyle="1" w:styleId="TitleChar">
    <w:name w:val="Title Char"/>
    <w:aliases w:val="1st Sub Title Char"/>
    <w:link w:val="Title"/>
    <w:uiPriority w:val="10"/>
    <w:rsid w:val="00E56EAC"/>
    <w:rPr>
      <w:rFonts w:ascii="Montserrat Medium" w:eastAsia="Calibri" w:hAnsi="Montserrat Medium" w:cs="Times New Roman Bold"/>
      <w:b/>
      <w:bCs/>
      <w:color w:val="36384C"/>
      <w:sz w:val="22"/>
      <w:szCs w:val="22"/>
      <w:u w:val="thick" w:color="9D3CC4"/>
    </w:rPr>
  </w:style>
  <w:style w:type="paragraph" w:styleId="TOC1">
    <w:name w:val="toc 1"/>
    <w:aliases w:val="TOC - FJ"/>
    <w:basedOn w:val="Normal"/>
    <w:next w:val="Normal"/>
    <w:autoRedefine/>
    <w:uiPriority w:val="39"/>
    <w:unhideWhenUsed/>
    <w:qFormat/>
    <w:rsid w:val="00E56EAC"/>
    <w:pPr>
      <w:tabs>
        <w:tab w:val="right" w:leader="dot" w:pos="9016"/>
      </w:tabs>
      <w:spacing w:before="240" w:after="240" w:line="360" w:lineRule="auto"/>
    </w:pPr>
    <w:rPr>
      <w:rFonts w:cs="Calibri"/>
      <w:bCs/>
      <w:noProof/>
      <w:sz w:val="22"/>
      <w:szCs w:val="22"/>
    </w:rPr>
  </w:style>
  <w:style w:type="paragraph" w:styleId="TOC2">
    <w:name w:val="toc 2"/>
    <w:basedOn w:val="Normal"/>
    <w:next w:val="Normal"/>
    <w:autoRedefine/>
    <w:uiPriority w:val="39"/>
    <w:unhideWhenUsed/>
    <w:rsid w:val="00E56EAC"/>
    <w:pPr>
      <w:spacing w:after="0"/>
      <w:ind w:left="220"/>
    </w:pPr>
    <w:rPr>
      <w:rFonts w:ascii="Calibri" w:hAnsi="Calibri" w:cs="Calibri"/>
      <w:i/>
      <w:iCs/>
      <w:szCs w:val="24"/>
    </w:rPr>
  </w:style>
  <w:style w:type="paragraph" w:styleId="TOC3">
    <w:name w:val="toc 3"/>
    <w:basedOn w:val="Normal"/>
    <w:next w:val="Normal"/>
    <w:autoRedefine/>
    <w:uiPriority w:val="39"/>
    <w:unhideWhenUsed/>
    <w:rsid w:val="00E56EAC"/>
    <w:pPr>
      <w:spacing w:after="0"/>
      <w:ind w:left="440"/>
    </w:pPr>
    <w:rPr>
      <w:rFonts w:ascii="Calibri" w:hAnsi="Calibri" w:cs="Calibri"/>
      <w:szCs w:val="24"/>
    </w:rPr>
  </w:style>
  <w:style w:type="paragraph" w:styleId="TOC5">
    <w:name w:val="toc 5"/>
    <w:basedOn w:val="Normal"/>
    <w:next w:val="Normal"/>
    <w:autoRedefine/>
    <w:uiPriority w:val="39"/>
    <w:unhideWhenUsed/>
    <w:rsid w:val="00E56EAC"/>
    <w:pPr>
      <w:spacing w:after="0"/>
      <w:ind w:left="880"/>
    </w:pPr>
    <w:rPr>
      <w:rFonts w:ascii="Calibri" w:hAnsi="Calibri" w:cs="Calibri"/>
      <w:szCs w:val="24"/>
    </w:rPr>
  </w:style>
  <w:style w:type="paragraph" w:styleId="TOC6">
    <w:name w:val="toc 6"/>
    <w:basedOn w:val="Normal"/>
    <w:next w:val="Normal"/>
    <w:autoRedefine/>
    <w:uiPriority w:val="39"/>
    <w:unhideWhenUsed/>
    <w:rsid w:val="00E56EAC"/>
    <w:pPr>
      <w:spacing w:after="0"/>
      <w:ind w:left="1100"/>
    </w:pPr>
    <w:rPr>
      <w:rFonts w:ascii="Calibri" w:hAnsi="Calibri" w:cs="Calibri"/>
      <w:szCs w:val="24"/>
    </w:rPr>
  </w:style>
  <w:style w:type="paragraph" w:styleId="TOC7">
    <w:name w:val="toc 7"/>
    <w:basedOn w:val="Normal"/>
    <w:next w:val="Normal"/>
    <w:autoRedefine/>
    <w:uiPriority w:val="39"/>
    <w:unhideWhenUsed/>
    <w:rsid w:val="00E56EAC"/>
    <w:pPr>
      <w:spacing w:after="0"/>
      <w:ind w:left="1320"/>
    </w:pPr>
    <w:rPr>
      <w:rFonts w:ascii="Calibri" w:hAnsi="Calibri" w:cs="Calibri"/>
      <w:szCs w:val="24"/>
    </w:rPr>
  </w:style>
  <w:style w:type="paragraph" w:styleId="TOC8">
    <w:name w:val="toc 8"/>
    <w:basedOn w:val="Normal"/>
    <w:next w:val="Normal"/>
    <w:autoRedefine/>
    <w:uiPriority w:val="39"/>
    <w:unhideWhenUsed/>
    <w:rsid w:val="00E56EAC"/>
    <w:pPr>
      <w:spacing w:after="0"/>
      <w:ind w:left="1540"/>
    </w:pPr>
    <w:rPr>
      <w:rFonts w:ascii="Calibri" w:hAnsi="Calibri" w:cs="Calibri"/>
      <w:szCs w:val="24"/>
    </w:rPr>
  </w:style>
  <w:style w:type="paragraph" w:styleId="TOC9">
    <w:name w:val="toc 9"/>
    <w:basedOn w:val="Normal"/>
    <w:next w:val="Normal"/>
    <w:autoRedefine/>
    <w:uiPriority w:val="39"/>
    <w:unhideWhenUsed/>
    <w:rsid w:val="00E56EAC"/>
    <w:pPr>
      <w:spacing w:after="0"/>
      <w:ind w:left="1760"/>
    </w:pPr>
    <w:rPr>
      <w:rFonts w:ascii="Calibri" w:hAnsi="Calibri" w:cs="Calibri"/>
      <w:szCs w:val="24"/>
    </w:rPr>
  </w:style>
  <w:style w:type="paragraph" w:styleId="TOCHeading">
    <w:name w:val="TOC Heading"/>
    <w:aliases w:val="Table Heading"/>
    <w:basedOn w:val="NoSpacing"/>
    <w:next w:val="Normal"/>
    <w:autoRedefine/>
    <w:uiPriority w:val="39"/>
    <w:unhideWhenUsed/>
    <w:qFormat/>
    <w:rsid w:val="00E56EAC"/>
    <w:pPr>
      <w:spacing w:before="120" w:after="120"/>
    </w:pPr>
    <w:rPr>
      <w:rFonts w:ascii="Montserrat SemiBold" w:hAnsi="Montserrat SemiBold"/>
      <w:b/>
      <w:bCs/>
      <w:color w:val="FFFFFF"/>
      <w:sz w:val="21"/>
      <w:szCs w:val="21"/>
      <w:u w:color="9D3CC4"/>
    </w:rPr>
  </w:style>
  <w:style w:type="character" w:styleId="UnresolvedMention">
    <w:name w:val="Unresolved Mention"/>
    <w:basedOn w:val="DefaultParagraphFont"/>
    <w:uiPriority w:val="99"/>
    <w:rsid w:val="00E56EAC"/>
    <w:rPr>
      <w:color w:val="605E5C"/>
      <w:shd w:val="clear" w:color="auto" w:fill="E1DFDD"/>
    </w:rPr>
  </w:style>
  <w:style w:type="character" w:customStyle="1" w:styleId="UnresolvedMention1">
    <w:name w:val="Unresolved Mention1"/>
    <w:uiPriority w:val="99"/>
    <w:semiHidden/>
    <w:unhideWhenUsed/>
    <w:rsid w:val="00E56EAC"/>
    <w:rPr>
      <w:color w:val="808080"/>
      <w:shd w:val="clear" w:color="auto" w:fill="E6E6E6"/>
    </w:rPr>
  </w:style>
  <w:style w:type="paragraph" w:customStyle="1" w:styleId="WW-DefaultStyle">
    <w:name w:val="WW-Default Style"/>
    <w:rsid w:val="00E56EAC"/>
    <w:pPr>
      <w:suppressAutoHyphens/>
      <w:spacing w:after="200" w:line="276" w:lineRule="auto"/>
    </w:pPr>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BE2029"/>
    <w:pPr>
      <w:spacing w:before="0" w:after="0" w:line="240" w:lineRule="auto"/>
    </w:pPr>
  </w:style>
  <w:style w:type="character" w:customStyle="1" w:styleId="FootnoteTextChar">
    <w:name w:val="Footnote Text Char"/>
    <w:basedOn w:val="DefaultParagraphFont"/>
    <w:link w:val="FootnoteText"/>
    <w:uiPriority w:val="99"/>
    <w:semiHidden/>
    <w:rsid w:val="00BE2029"/>
    <w:rPr>
      <w:rFonts w:ascii="Montserrat Medium" w:eastAsia="Calibri" w:hAnsi="Montserrat Medium" w:cs="Times New Roman"/>
      <w:color w:val="36384C"/>
      <w:sz w:val="20"/>
      <w:szCs w:val="20"/>
    </w:rPr>
  </w:style>
  <w:style w:type="character" w:styleId="FootnoteReference">
    <w:name w:val="footnote reference"/>
    <w:basedOn w:val="DefaultParagraphFont"/>
    <w:uiPriority w:val="99"/>
    <w:semiHidden/>
    <w:unhideWhenUsed/>
    <w:rsid w:val="00BE2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4823">
      <w:bodyDiv w:val="1"/>
      <w:marLeft w:val="0"/>
      <w:marRight w:val="0"/>
      <w:marTop w:val="0"/>
      <w:marBottom w:val="0"/>
      <w:divBdr>
        <w:top w:val="none" w:sz="0" w:space="0" w:color="auto"/>
        <w:left w:val="none" w:sz="0" w:space="0" w:color="auto"/>
        <w:bottom w:val="none" w:sz="0" w:space="0" w:color="auto"/>
        <w:right w:val="none" w:sz="0" w:space="0" w:color="auto"/>
      </w:divBdr>
    </w:div>
    <w:div w:id="353770702">
      <w:bodyDiv w:val="1"/>
      <w:marLeft w:val="0"/>
      <w:marRight w:val="0"/>
      <w:marTop w:val="0"/>
      <w:marBottom w:val="0"/>
      <w:divBdr>
        <w:top w:val="none" w:sz="0" w:space="0" w:color="auto"/>
        <w:left w:val="none" w:sz="0" w:space="0" w:color="auto"/>
        <w:bottom w:val="none" w:sz="0" w:space="0" w:color="auto"/>
        <w:right w:val="none" w:sz="0" w:space="0" w:color="auto"/>
      </w:divBdr>
    </w:div>
    <w:div w:id="375397978">
      <w:bodyDiv w:val="1"/>
      <w:marLeft w:val="0"/>
      <w:marRight w:val="0"/>
      <w:marTop w:val="0"/>
      <w:marBottom w:val="0"/>
      <w:divBdr>
        <w:top w:val="none" w:sz="0" w:space="0" w:color="auto"/>
        <w:left w:val="none" w:sz="0" w:space="0" w:color="auto"/>
        <w:bottom w:val="none" w:sz="0" w:space="0" w:color="auto"/>
        <w:right w:val="none" w:sz="0" w:space="0" w:color="auto"/>
      </w:divBdr>
    </w:div>
    <w:div w:id="672534611">
      <w:bodyDiv w:val="1"/>
      <w:marLeft w:val="0"/>
      <w:marRight w:val="0"/>
      <w:marTop w:val="0"/>
      <w:marBottom w:val="0"/>
      <w:divBdr>
        <w:top w:val="none" w:sz="0" w:space="0" w:color="auto"/>
        <w:left w:val="none" w:sz="0" w:space="0" w:color="auto"/>
        <w:bottom w:val="none" w:sz="0" w:space="0" w:color="auto"/>
        <w:right w:val="none" w:sz="0" w:space="0" w:color="auto"/>
      </w:divBdr>
    </w:div>
    <w:div w:id="1572733895">
      <w:bodyDiv w:val="1"/>
      <w:marLeft w:val="0"/>
      <w:marRight w:val="0"/>
      <w:marTop w:val="0"/>
      <w:marBottom w:val="0"/>
      <w:divBdr>
        <w:top w:val="none" w:sz="0" w:space="0" w:color="auto"/>
        <w:left w:val="none" w:sz="0" w:space="0" w:color="auto"/>
        <w:bottom w:val="none" w:sz="0" w:space="0" w:color="auto"/>
        <w:right w:val="none" w:sz="0" w:space="0" w:color="auto"/>
      </w:divBdr>
    </w:div>
    <w:div w:id="1819111124">
      <w:bodyDiv w:val="1"/>
      <w:marLeft w:val="0"/>
      <w:marRight w:val="0"/>
      <w:marTop w:val="0"/>
      <w:marBottom w:val="0"/>
      <w:divBdr>
        <w:top w:val="none" w:sz="0" w:space="0" w:color="auto"/>
        <w:left w:val="none" w:sz="0" w:space="0" w:color="auto"/>
        <w:bottom w:val="none" w:sz="0" w:space="0" w:color="auto"/>
        <w:right w:val="none" w:sz="0" w:space="0" w:color="auto"/>
      </w:divBdr>
      <w:divsChild>
        <w:div w:id="1886984966">
          <w:marLeft w:val="0"/>
          <w:marRight w:val="0"/>
          <w:marTop w:val="0"/>
          <w:marBottom w:val="0"/>
          <w:divBdr>
            <w:top w:val="none" w:sz="0" w:space="0" w:color="auto"/>
            <w:left w:val="none" w:sz="0" w:space="0" w:color="auto"/>
            <w:bottom w:val="none" w:sz="0" w:space="0" w:color="auto"/>
            <w:right w:val="none" w:sz="0" w:space="0" w:color="auto"/>
          </w:divBdr>
          <w:divsChild>
            <w:div w:id="1012099556">
              <w:marLeft w:val="0"/>
              <w:marRight w:val="0"/>
              <w:marTop w:val="0"/>
              <w:marBottom w:val="0"/>
              <w:divBdr>
                <w:top w:val="none" w:sz="0" w:space="0" w:color="auto"/>
                <w:left w:val="none" w:sz="0" w:space="0" w:color="auto"/>
                <w:bottom w:val="none" w:sz="0" w:space="0" w:color="auto"/>
                <w:right w:val="none" w:sz="0" w:space="0" w:color="auto"/>
              </w:divBdr>
            </w:div>
          </w:divsChild>
        </w:div>
        <w:div w:id="167702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timelineapp.co/blog/cash-buffers-sustainable-withdrawal-and-bear-markets/?mc_cid=f50d0d3798&amp;mc_eid=2ffa07a51e" TargetMode="External"/><Relationship Id="rId13" Type="http://schemas.openxmlformats.org/officeDocument/2006/relationships/hyperlink" Target="https://finalytiq.co.uk/lower-equity-allocation-retirement-reducing-risk-shooting-foot/" TargetMode="External"/><Relationship Id="rId3" Type="http://schemas.openxmlformats.org/officeDocument/2006/relationships/hyperlink" Target="https://finalytiq.co.uk/natural-yield-totally-bonkers-retirement-income-strategy/" TargetMode="External"/><Relationship Id="rId7" Type="http://schemas.openxmlformats.org/officeDocument/2006/relationships/hyperlink" Target="https://www.onefpa.org/journal/Pages/Sustainable%20Withdrawal%20Rates%20The%20Historical%20Evidence%20on%20Buffer%20Zone%20Strategies.aspx" TargetMode="External"/><Relationship Id="rId12" Type="http://schemas.openxmlformats.org/officeDocument/2006/relationships/hyperlink" Target="https://finalytiq.co.uk/wp-content/uploads/2017/02/Bill-Bengen.pdf" TargetMode="External"/><Relationship Id="rId17" Type="http://schemas.openxmlformats.org/officeDocument/2006/relationships/hyperlink" Target="https://www.vanguard.com/pdf/icrpr.pdf" TargetMode="External"/><Relationship Id="rId2" Type="http://schemas.openxmlformats.org/officeDocument/2006/relationships/hyperlink" Target="https://www.synaptic.co.uk/research-and-opinion/connection/q2-2017/natural-yield-totally-bonkers-retirement-income-strategy" TargetMode="External"/><Relationship Id="rId16" Type="http://schemas.openxmlformats.org/officeDocument/2006/relationships/hyperlink" Target="https://us.spindices.com/spiva/" TargetMode="External"/><Relationship Id="rId1" Type="http://schemas.openxmlformats.org/officeDocument/2006/relationships/hyperlink" Target="https://institutional.vanguard.com/iam/pdf/VIPS_total_return.pdf" TargetMode="External"/><Relationship Id="rId6" Type="http://schemas.openxmlformats.org/officeDocument/2006/relationships/hyperlink" Target="https://finalytiq.co.uk/wp-content/uploads/2017/02/FPA-Journal-December-1997-Conserving-Client-Portfolios-During-Retirement-Part-III.pdf" TargetMode="External"/><Relationship Id="rId11" Type="http://schemas.openxmlformats.org/officeDocument/2006/relationships/hyperlink" Target="https://www.allocationblog.com/content/uploads/sites/3/2016/07/Equity-Gilt-Study-2016.compressed.pdf" TargetMode="External"/><Relationship Id="rId5" Type="http://schemas.openxmlformats.org/officeDocument/2006/relationships/hyperlink" Target="https://www.langcatfinancial.co.uk/wp-content/uploads/2016/10/Aegon-HOW-TO-GET-YOUR-MONEY-BACK.pdf" TargetMode="External"/><Relationship Id="rId15" Type="http://schemas.openxmlformats.org/officeDocument/2006/relationships/hyperlink" Target="https://www.morningstar.com/content/dam/marketing/shared/Company/LandingPages/Research/Documents/Morningstar_Active_Passive_Barometer_2018.pdf" TargetMode="External"/><Relationship Id="rId10" Type="http://schemas.openxmlformats.org/officeDocument/2006/relationships/hyperlink" Target="https://www.ii.co.uk/analysis-commentary/absolute-return-funds-once-again-fail-hit-target-ii507032" TargetMode="External"/><Relationship Id="rId4" Type="http://schemas.openxmlformats.org/officeDocument/2006/relationships/hyperlink" Target="https://www.timelineapp.co/blog/putting-natural-yield-retirement-income-to-the-test/" TargetMode="External"/><Relationship Id="rId9" Type="http://schemas.openxmlformats.org/officeDocument/2006/relationships/hyperlink" Target="https://www.kitces.com/blog/dynamic-retirement-spending-small-but-permanent-variable-adjustments/" TargetMode="External"/><Relationship Id="rId14" Type="http://schemas.openxmlformats.org/officeDocument/2006/relationships/hyperlink" Target="http://citeseerx.ist.psu.edu/viewdoc/download?doi=10.1.1.335.236&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14C414A-F215-2B48-BAFF-91C4927E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Hindle</dc:creator>
  <cp:keywords/>
  <dc:description/>
  <cp:lastModifiedBy>christopher hindle</cp:lastModifiedBy>
  <cp:revision>18</cp:revision>
  <dcterms:created xsi:type="dcterms:W3CDTF">2018-10-28T12:38:00Z</dcterms:created>
  <dcterms:modified xsi:type="dcterms:W3CDTF">2020-06-10T09:35:00Z</dcterms:modified>
</cp:coreProperties>
</file>