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1684" w14:textId="69C17310" w:rsidR="00A6441F" w:rsidRPr="00EE53B6" w:rsidRDefault="00BB30F2" w:rsidP="00873529">
      <w:pPr>
        <w:jc w:val="center"/>
        <w:rPr>
          <w:rFonts w:ascii="Arial" w:hAnsi="Arial" w:cs="Arial"/>
          <w:b/>
          <w:sz w:val="24"/>
          <w:szCs w:val="20"/>
        </w:rPr>
      </w:pPr>
      <w:r>
        <w:rPr>
          <w:rFonts w:ascii="Arial" w:hAnsi="Arial" w:cs="Arial"/>
          <w:b/>
          <w:sz w:val="24"/>
          <w:szCs w:val="20"/>
        </w:rPr>
        <w:t>Withdrawal</w:t>
      </w:r>
      <w:r w:rsidR="00A6441F" w:rsidRPr="00EE53B6">
        <w:rPr>
          <w:rFonts w:ascii="Arial" w:hAnsi="Arial" w:cs="Arial"/>
          <w:b/>
          <w:sz w:val="24"/>
          <w:szCs w:val="20"/>
        </w:rPr>
        <w:t xml:space="preserve"> Policy Statement (</w:t>
      </w:r>
      <w:r w:rsidR="00241F81">
        <w:rPr>
          <w:rFonts w:ascii="Arial" w:hAnsi="Arial" w:cs="Arial"/>
          <w:b/>
          <w:sz w:val="24"/>
          <w:szCs w:val="20"/>
        </w:rPr>
        <w:t>W</w:t>
      </w:r>
      <w:r w:rsidR="00A6441F" w:rsidRPr="00EE53B6">
        <w:rPr>
          <w:rFonts w:ascii="Arial" w:hAnsi="Arial" w:cs="Arial"/>
          <w:b/>
          <w:sz w:val="24"/>
          <w:szCs w:val="20"/>
        </w:rPr>
        <w:t>PS)</w:t>
      </w:r>
    </w:p>
    <w:p w14:paraId="7A1DB615" w14:textId="58436392" w:rsidR="00401D65" w:rsidRPr="009B6FA5" w:rsidRDefault="00A6441F" w:rsidP="00873529">
      <w:pPr>
        <w:jc w:val="both"/>
        <w:rPr>
          <w:rFonts w:ascii="Arial" w:eastAsia="Times New Roman" w:hAnsi="Arial" w:cs="Arial"/>
          <w:i/>
          <w:sz w:val="20"/>
          <w:szCs w:val="20"/>
          <w:lang w:eastAsia="en-GB"/>
        </w:rPr>
      </w:pPr>
      <w:r w:rsidRPr="009B6FA5">
        <w:rPr>
          <w:rFonts w:ascii="Arial" w:eastAsia="Times New Roman" w:hAnsi="Arial" w:cs="Arial"/>
          <w:i/>
          <w:sz w:val="20"/>
          <w:szCs w:val="20"/>
          <w:lang w:eastAsia="en-GB"/>
        </w:rPr>
        <w:t>The purpose of this document i</w:t>
      </w:r>
      <w:r w:rsidR="00241F81" w:rsidRPr="009B6FA5">
        <w:rPr>
          <w:rFonts w:ascii="Arial" w:eastAsia="Times New Roman" w:hAnsi="Arial" w:cs="Arial"/>
          <w:i/>
          <w:sz w:val="20"/>
          <w:szCs w:val="20"/>
          <w:lang w:eastAsia="en-GB"/>
        </w:rPr>
        <w:t>s to set out the guiding principles as to how to manage the withdrawal strategy in line with your income objectives. The aim is to create a policy that is flexible enough to encompass unexpected events as they arise and specific enough so that we are rarely in doubt as to what action to take in response to changing events.</w:t>
      </w:r>
    </w:p>
    <w:tbl>
      <w:tblPr>
        <w:tblStyle w:val="TableGrid"/>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8526"/>
      </w:tblGrid>
      <w:tr w:rsidR="00FB2525" w:rsidRPr="00D07FAE" w14:paraId="77FE4B61" w14:textId="77777777" w:rsidTr="00581CAF">
        <w:tc>
          <w:tcPr>
            <w:tcW w:w="2395" w:type="dxa"/>
            <w:tcBorders>
              <w:bottom w:val="single" w:sz="4" w:space="0" w:color="auto"/>
              <w:right w:val="single" w:sz="4" w:space="0" w:color="auto"/>
            </w:tcBorders>
          </w:tcPr>
          <w:p w14:paraId="60456C4C" w14:textId="77777777" w:rsidR="00FB2525" w:rsidRPr="00D07FAE" w:rsidRDefault="00FB2525" w:rsidP="00C1159F">
            <w:pPr>
              <w:rPr>
                <w:rFonts w:ascii="Arial" w:hAnsi="Arial" w:cs="Arial"/>
                <w:b/>
                <w:sz w:val="20"/>
                <w:szCs w:val="20"/>
              </w:rPr>
            </w:pPr>
            <w:r w:rsidRPr="00D07FAE">
              <w:rPr>
                <w:rFonts w:ascii="Arial" w:hAnsi="Arial" w:cs="Arial"/>
                <w:b/>
                <w:sz w:val="20"/>
                <w:szCs w:val="20"/>
              </w:rPr>
              <w:t>Client circumstances:</w:t>
            </w:r>
          </w:p>
        </w:tc>
        <w:tc>
          <w:tcPr>
            <w:tcW w:w="8526" w:type="dxa"/>
            <w:tcBorders>
              <w:left w:val="single" w:sz="4" w:space="0" w:color="auto"/>
              <w:bottom w:val="single" w:sz="4" w:space="0" w:color="auto"/>
            </w:tcBorders>
          </w:tcPr>
          <w:p w14:paraId="105E9D14" w14:textId="502614B9" w:rsidR="00AE2D5F" w:rsidRDefault="00AE2D5F" w:rsidP="00AE2D5F">
            <w:pPr>
              <w:pStyle w:val="ListParagraph"/>
              <w:numPr>
                <w:ilvl w:val="0"/>
                <w:numId w:val="14"/>
              </w:numPr>
              <w:jc w:val="both"/>
              <w:rPr>
                <w:rFonts w:ascii="Arial" w:hAnsi="Arial" w:cs="Arial"/>
                <w:sz w:val="20"/>
                <w:szCs w:val="20"/>
              </w:rPr>
            </w:pPr>
            <w:r>
              <w:rPr>
                <w:rFonts w:ascii="Arial" w:hAnsi="Arial" w:cs="Arial"/>
                <w:sz w:val="20"/>
                <w:szCs w:val="20"/>
              </w:rPr>
              <w:t>John Doe</w:t>
            </w:r>
            <w:r w:rsidR="00213515">
              <w:rPr>
                <w:rFonts w:ascii="Arial" w:hAnsi="Arial" w:cs="Arial"/>
                <w:sz w:val="20"/>
                <w:szCs w:val="20"/>
              </w:rPr>
              <w:t xml:space="preserve"> (65)</w:t>
            </w:r>
            <w:r>
              <w:rPr>
                <w:rFonts w:ascii="Arial" w:hAnsi="Arial" w:cs="Arial"/>
                <w:sz w:val="20"/>
                <w:szCs w:val="20"/>
              </w:rPr>
              <w:t>, married to Jane Doe</w:t>
            </w:r>
            <w:r w:rsidR="00213515">
              <w:rPr>
                <w:rFonts w:ascii="Arial" w:hAnsi="Arial" w:cs="Arial"/>
                <w:sz w:val="20"/>
                <w:szCs w:val="20"/>
              </w:rPr>
              <w:t xml:space="preserve"> (62)</w:t>
            </w:r>
          </w:p>
          <w:p w14:paraId="18BCC93B" w14:textId="77777777" w:rsidR="00AE2D5F" w:rsidRPr="00D07FAE" w:rsidRDefault="00AE2D5F" w:rsidP="00AE2D5F">
            <w:pPr>
              <w:pStyle w:val="ListParagraph"/>
              <w:numPr>
                <w:ilvl w:val="0"/>
                <w:numId w:val="14"/>
              </w:numPr>
              <w:jc w:val="both"/>
              <w:rPr>
                <w:rFonts w:ascii="Arial" w:hAnsi="Arial" w:cs="Arial"/>
                <w:sz w:val="20"/>
                <w:szCs w:val="20"/>
              </w:rPr>
            </w:pPr>
            <w:r>
              <w:rPr>
                <w:rFonts w:ascii="Arial" w:hAnsi="Arial" w:cs="Arial"/>
                <w:sz w:val="20"/>
                <w:szCs w:val="20"/>
              </w:rPr>
              <w:t>You have two children aged 18 and 21</w:t>
            </w:r>
          </w:p>
          <w:p w14:paraId="1D80A26B" w14:textId="77777777" w:rsidR="00AE2D5F" w:rsidRPr="00BF0C74" w:rsidRDefault="00AE2D5F" w:rsidP="00AE2D5F">
            <w:pPr>
              <w:pStyle w:val="ListParagraph"/>
              <w:numPr>
                <w:ilvl w:val="0"/>
                <w:numId w:val="14"/>
              </w:numPr>
              <w:jc w:val="both"/>
              <w:rPr>
                <w:rFonts w:ascii="Arial" w:hAnsi="Arial" w:cs="Arial"/>
                <w:i/>
                <w:sz w:val="20"/>
                <w:szCs w:val="20"/>
              </w:rPr>
            </w:pPr>
            <w:r w:rsidRPr="00BF0C74">
              <w:rPr>
                <w:rFonts w:ascii="Arial" w:hAnsi="Arial" w:cs="Arial"/>
                <w:i/>
                <w:sz w:val="20"/>
                <w:szCs w:val="20"/>
              </w:rPr>
              <w:t xml:space="preserve">See </w:t>
            </w:r>
            <w:r>
              <w:rPr>
                <w:rFonts w:ascii="Arial" w:hAnsi="Arial" w:cs="Arial"/>
                <w:i/>
                <w:sz w:val="20"/>
                <w:szCs w:val="20"/>
              </w:rPr>
              <w:t xml:space="preserve">Fact Find dated XX/XX/XXXX and/or </w:t>
            </w:r>
            <w:r w:rsidRPr="00BF0C74">
              <w:rPr>
                <w:rFonts w:ascii="Arial" w:hAnsi="Arial" w:cs="Arial"/>
                <w:i/>
                <w:sz w:val="20"/>
                <w:szCs w:val="20"/>
              </w:rPr>
              <w:t>attached Family Balance Sheet and Income vs Expenditure</w:t>
            </w:r>
          </w:p>
          <w:p w14:paraId="02F47A23" w14:textId="77777777" w:rsidR="000D4134" w:rsidRPr="00D07FAE" w:rsidRDefault="00D20362" w:rsidP="00873529">
            <w:pPr>
              <w:jc w:val="both"/>
              <w:rPr>
                <w:rFonts w:ascii="Arial" w:hAnsi="Arial" w:cs="Arial"/>
                <w:sz w:val="20"/>
                <w:szCs w:val="20"/>
              </w:rPr>
            </w:pPr>
            <w:r>
              <w:rPr>
                <w:rFonts w:ascii="Arial" w:hAnsi="Arial" w:cs="Arial"/>
                <w:sz w:val="20"/>
                <w:szCs w:val="20"/>
              </w:rPr>
              <w:t xml:space="preserve"> </w:t>
            </w:r>
          </w:p>
        </w:tc>
      </w:tr>
      <w:tr w:rsidR="00B04021" w:rsidRPr="00B04021" w14:paraId="13E14445" w14:textId="77777777" w:rsidTr="00581CAF">
        <w:tc>
          <w:tcPr>
            <w:tcW w:w="2395" w:type="dxa"/>
            <w:tcBorders>
              <w:bottom w:val="single" w:sz="4" w:space="0" w:color="auto"/>
              <w:right w:val="single" w:sz="4" w:space="0" w:color="auto"/>
            </w:tcBorders>
          </w:tcPr>
          <w:p w14:paraId="3BE41E2C" w14:textId="79AB061E" w:rsidR="003420A8" w:rsidRDefault="009B6FA5" w:rsidP="00C1159F">
            <w:pPr>
              <w:rPr>
                <w:rFonts w:ascii="Arial" w:hAnsi="Arial" w:cs="Arial"/>
                <w:b/>
                <w:sz w:val="20"/>
                <w:szCs w:val="20"/>
              </w:rPr>
            </w:pPr>
            <w:r>
              <w:rPr>
                <w:rFonts w:ascii="Arial" w:hAnsi="Arial" w:cs="Arial"/>
                <w:b/>
                <w:sz w:val="20"/>
                <w:szCs w:val="20"/>
              </w:rPr>
              <w:t>Portfolio</w:t>
            </w:r>
            <w:r w:rsidR="00CE4D66">
              <w:rPr>
                <w:rFonts w:ascii="Arial" w:hAnsi="Arial" w:cs="Arial"/>
                <w:b/>
                <w:sz w:val="20"/>
                <w:szCs w:val="20"/>
              </w:rPr>
              <w:t xml:space="preserve"> value</w:t>
            </w:r>
            <w:r w:rsidR="003420A8">
              <w:rPr>
                <w:rFonts w:ascii="Arial" w:hAnsi="Arial" w:cs="Arial"/>
                <w:b/>
                <w:sz w:val="20"/>
                <w:szCs w:val="20"/>
              </w:rPr>
              <w:t>:</w:t>
            </w:r>
          </w:p>
          <w:p w14:paraId="540763F2" w14:textId="311F0506" w:rsidR="00241F81" w:rsidRPr="003420A8" w:rsidRDefault="003420A8" w:rsidP="003420A8">
            <w:pPr>
              <w:rPr>
                <w:rFonts w:ascii="Arial" w:hAnsi="Arial" w:cs="Arial"/>
                <w:i/>
                <w:sz w:val="20"/>
                <w:szCs w:val="20"/>
              </w:rPr>
            </w:pPr>
            <w:r w:rsidRPr="003420A8">
              <w:rPr>
                <w:rFonts w:ascii="Arial" w:hAnsi="Arial" w:cs="Arial"/>
                <w:i/>
                <w:sz w:val="20"/>
                <w:szCs w:val="20"/>
              </w:rPr>
              <w:t>List assets this</w:t>
            </w:r>
            <w:r w:rsidR="003D7057">
              <w:rPr>
                <w:rFonts w:ascii="Arial" w:hAnsi="Arial" w:cs="Arial"/>
                <w:i/>
                <w:sz w:val="20"/>
                <w:szCs w:val="20"/>
              </w:rPr>
              <w:t xml:space="preserve"> WPS</w:t>
            </w:r>
            <w:r w:rsidRPr="003420A8">
              <w:rPr>
                <w:rFonts w:ascii="Arial" w:hAnsi="Arial" w:cs="Arial"/>
                <w:i/>
                <w:sz w:val="20"/>
                <w:szCs w:val="20"/>
              </w:rPr>
              <w:t xml:space="preserve"> applies to </w:t>
            </w:r>
            <w:r>
              <w:rPr>
                <w:rFonts w:ascii="Arial" w:hAnsi="Arial" w:cs="Arial"/>
                <w:i/>
                <w:sz w:val="20"/>
                <w:szCs w:val="20"/>
              </w:rPr>
              <w:t xml:space="preserve">and </w:t>
            </w:r>
            <w:r w:rsidRPr="003420A8">
              <w:rPr>
                <w:rFonts w:ascii="Arial" w:hAnsi="Arial" w:cs="Arial"/>
                <w:i/>
                <w:sz w:val="20"/>
                <w:szCs w:val="20"/>
              </w:rPr>
              <w:t>include initial value &amp; date</w:t>
            </w:r>
          </w:p>
          <w:p w14:paraId="719ED10F" w14:textId="73A31FC9" w:rsidR="003420A8" w:rsidRPr="00B04021" w:rsidRDefault="003420A8" w:rsidP="003420A8">
            <w:pPr>
              <w:rPr>
                <w:rFonts w:ascii="Arial" w:hAnsi="Arial" w:cs="Arial"/>
                <w:b/>
                <w:sz w:val="20"/>
                <w:szCs w:val="20"/>
              </w:rPr>
            </w:pPr>
          </w:p>
        </w:tc>
        <w:tc>
          <w:tcPr>
            <w:tcW w:w="8526" w:type="dxa"/>
            <w:tcBorders>
              <w:left w:val="single" w:sz="4" w:space="0" w:color="auto"/>
              <w:bottom w:val="single" w:sz="4" w:space="0" w:color="auto"/>
            </w:tcBorders>
          </w:tcPr>
          <w:p w14:paraId="16CCE60E" w14:textId="71B20936" w:rsidR="00C57FCA" w:rsidRPr="00853C39" w:rsidRDefault="009B6FA5" w:rsidP="00C57FCA">
            <w:pPr>
              <w:pStyle w:val="ListParagraph"/>
              <w:numPr>
                <w:ilvl w:val="0"/>
                <w:numId w:val="14"/>
              </w:numPr>
              <w:jc w:val="both"/>
              <w:rPr>
                <w:rFonts w:ascii="Arial" w:hAnsi="Arial" w:cs="Arial"/>
                <w:sz w:val="20"/>
                <w:szCs w:val="20"/>
              </w:rPr>
            </w:pPr>
            <w:r>
              <w:rPr>
                <w:rFonts w:ascii="Arial" w:hAnsi="Arial" w:cs="Arial"/>
                <w:sz w:val="20"/>
                <w:szCs w:val="20"/>
              </w:rPr>
              <w:t xml:space="preserve">Initial: </w:t>
            </w:r>
            <w:r w:rsidR="00C57FCA">
              <w:rPr>
                <w:rFonts w:ascii="Arial" w:hAnsi="Arial" w:cs="Arial"/>
                <w:sz w:val="20"/>
                <w:szCs w:val="20"/>
              </w:rPr>
              <w:t xml:space="preserve">AJ Bell SIPP - </w:t>
            </w:r>
            <w:r w:rsidR="00C57FCA" w:rsidRPr="00C1159F">
              <w:rPr>
                <w:rFonts w:ascii="Arial" w:eastAsia="Times New Roman" w:hAnsi="Arial" w:cs="Arial"/>
                <w:sz w:val="20"/>
                <w:szCs w:val="20"/>
                <w:lang w:eastAsia="en-GB"/>
              </w:rPr>
              <w:t>£</w:t>
            </w:r>
            <w:r w:rsidR="00E74A0E">
              <w:rPr>
                <w:rFonts w:ascii="Arial" w:eastAsia="Times New Roman" w:hAnsi="Arial" w:cs="Arial"/>
                <w:sz w:val="20"/>
                <w:szCs w:val="20"/>
                <w:lang w:eastAsia="en-GB"/>
              </w:rPr>
              <w:t>1,000,000</w:t>
            </w:r>
            <w:r w:rsidR="00357442">
              <w:rPr>
                <w:rFonts w:ascii="Arial" w:eastAsia="Times New Roman" w:hAnsi="Arial" w:cs="Arial"/>
                <w:sz w:val="20"/>
                <w:szCs w:val="20"/>
                <w:lang w:eastAsia="en-GB"/>
              </w:rPr>
              <w:t xml:space="preserve"> as at 02/10/2018</w:t>
            </w:r>
          </w:p>
          <w:p w14:paraId="74C710ED" w14:textId="669F5D7D" w:rsidR="00853C39" w:rsidRPr="00853C39" w:rsidRDefault="00853C39" w:rsidP="00C57FCA">
            <w:pPr>
              <w:pStyle w:val="ListParagraph"/>
              <w:numPr>
                <w:ilvl w:val="0"/>
                <w:numId w:val="14"/>
              </w:numPr>
              <w:jc w:val="both"/>
              <w:rPr>
                <w:rFonts w:ascii="Arial" w:hAnsi="Arial" w:cs="Arial"/>
                <w:i/>
                <w:sz w:val="20"/>
                <w:szCs w:val="20"/>
              </w:rPr>
            </w:pPr>
            <w:r>
              <w:rPr>
                <w:rFonts w:ascii="Arial" w:hAnsi="Arial" w:cs="Arial"/>
                <w:i/>
                <w:sz w:val="20"/>
                <w:szCs w:val="20"/>
              </w:rPr>
              <w:t>Add updated value each year</w:t>
            </w:r>
          </w:p>
        </w:tc>
      </w:tr>
      <w:tr w:rsidR="0057128B" w:rsidRPr="00D07FAE" w14:paraId="616F012E" w14:textId="77777777" w:rsidTr="009B3988">
        <w:tc>
          <w:tcPr>
            <w:tcW w:w="2395" w:type="dxa"/>
            <w:tcBorders>
              <w:top w:val="single" w:sz="4" w:space="0" w:color="auto"/>
              <w:bottom w:val="single" w:sz="4" w:space="0" w:color="auto"/>
              <w:right w:val="single" w:sz="4" w:space="0" w:color="auto"/>
            </w:tcBorders>
          </w:tcPr>
          <w:p w14:paraId="3CE9908B" w14:textId="3CDD8DE6" w:rsidR="0057128B" w:rsidRPr="00D07FAE" w:rsidRDefault="0057128B" w:rsidP="009B3988">
            <w:pPr>
              <w:rPr>
                <w:rFonts w:ascii="Arial" w:hAnsi="Arial" w:cs="Arial"/>
                <w:b/>
                <w:sz w:val="20"/>
                <w:szCs w:val="20"/>
              </w:rPr>
            </w:pPr>
            <w:r>
              <w:rPr>
                <w:rFonts w:ascii="Arial" w:hAnsi="Arial" w:cs="Arial"/>
                <w:b/>
                <w:sz w:val="20"/>
                <w:szCs w:val="20"/>
              </w:rPr>
              <w:t>Income history</w:t>
            </w:r>
          </w:p>
          <w:p w14:paraId="675AFDE2" w14:textId="77777777" w:rsidR="0057128B" w:rsidRPr="00D07FAE" w:rsidRDefault="0057128B" w:rsidP="009B3988">
            <w:pPr>
              <w:rPr>
                <w:rFonts w:ascii="Arial" w:hAnsi="Arial" w:cs="Arial"/>
                <w:b/>
                <w:sz w:val="20"/>
                <w:szCs w:val="20"/>
              </w:rPr>
            </w:pPr>
          </w:p>
        </w:tc>
        <w:tc>
          <w:tcPr>
            <w:tcW w:w="8526" w:type="dxa"/>
            <w:tcBorders>
              <w:top w:val="single" w:sz="4" w:space="0" w:color="auto"/>
              <w:left w:val="single" w:sz="4" w:space="0" w:color="auto"/>
              <w:bottom w:val="single" w:sz="4" w:space="0" w:color="auto"/>
            </w:tcBorders>
          </w:tcPr>
          <w:p w14:paraId="06BF8211" w14:textId="0E896F54" w:rsidR="0057128B" w:rsidRDefault="0057128B" w:rsidP="009B3988">
            <w:pPr>
              <w:pStyle w:val="ListParagraph"/>
              <w:numPr>
                <w:ilvl w:val="0"/>
                <w:numId w:val="15"/>
              </w:numPr>
              <w:rPr>
                <w:rFonts w:ascii="Arial" w:hAnsi="Arial" w:cs="Arial"/>
                <w:sz w:val="20"/>
                <w:szCs w:val="20"/>
              </w:rPr>
            </w:pPr>
            <w:r>
              <w:rPr>
                <w:rFonts w:ascii="Arial" w:hAnsi="Arial" w:cs="Arial"/>
                <w:sz w:val="20"/>
                <w:szCs w:val="20"/>
              </w:rPr>
              <w:t>2016 - £12,000 gross</w:t>
            </w:r>
          </w:p>
          <w:p w14:paraId="4980ACA7" w14:textId="0FC8AC42" w:rsidR="0057128B" w:rsidRDefault="0057128B" w:rsidP="009B3988">
            <w:pPr>
              <w:pStyle w:val="ListParagraph"/>
              <w:numPr>
                <w:ilvl w:val="0"/>
                <w:numId w:val="15"/>
              </w:numPr>
              <w:rPr>
                <w:rFonts w:ascii="Arial" w:hAnsi="Arial" w:cs="Arial"/>
                <w:sz w:val="20"/>
                <w:szCs w:val="20"/>
              </w:rPr>
            </w:pPr>
            <w:r>
              <w:rPr>
                <w:rFonts w:ascii="Arial" w:hAnsi="Arial" w:cs="Arial"/>
                <w:sz w:val="20"/>
                <w:szCs w:val="20"/>
              </w:rPr>
              <w:t>2017 - £30,000 gross</w:t>
            </w:r>
          </w:p>
          <w:p w14:paraId="20852643" w14:textId="3391189E" w:rsidR="0057128B" w:rsidRDefault="0057128B" w:rsidP="009B3988">
            <w:pPr>
              <w:pStyle w:val="ListParagraph"/>
              <w:numPr>
                <w:ilvl w:val="0"/>
                <w:numId w:val="15"/>
              </w:numPr>
              <w:rPr>
                <w:rFonts w:ascii="Arial" w:hAnsi="Arial" w:cs="Arial"/>
                <w:sz w:val="20"/>
                <w:szCs w:val="20"/>
              </w:rPr>
            </w:pPr>
            <w:r>
              <w:rPr>
                <w:rFonts w:ascii="Arial" w:hAnsi="Arial" w:cs="Arial"/>
                <w:sz w:val="20"/>
                <w:szCs w:val="20"/>
              </w:rPr>
              <w:t>2018 - £40,000 gross</w:t>
            </w:r>
          </w:p>
          <w:p w14:paraId="7BED80B1" w14:textId="77777777" w:rsidR="0057128B" w:rsidRPr="00853C39" w:rsidRDefault="0057128B" w:rsidP="009B3988">
            <w:pPr>
              <w:rPr>
                <w:rFonts w:ascii="Arial" w:hAnsi="Arial" w:cs="Arial"/>
                <w:sz w:val="20"/>
                <w:szCs w:val="20"/>
              </w:rPr>
            </w:pPr>
          </w:p>
        </w:tc>
      </w:tr>
      <w:tr w:rsidR="00A6441F" w:rsidRPr="00D07FAE" w14:paraId="1D0E550A" w14:textId="77777777" w:rsidTr="00581CAF">
        <w:tc>
          <w:tcPr>
            <w:tcW w:w="2395" w:type="dxa"/>
            <w:tcBorders>
              <w:top w:val="single" w:sz="4" w:space="0" w:color="auto"/>
              <w:bottom w:val="single" w:sz="4" w:space="0" w:color="auto"/>
              <w:right w:val="single" w:sz="4" w:space="0" w:color="auto"/>
            </w:tcBorders>
          </w:tcPr>
          <w:p w14:paraId="6D59F7B9" w14:textId="15929091" w:rsidR="0032460F" w:rsidRPr="00D07FAE" w:rsidRDefault="000448DE" w:rsidP="0032460F">
            <w:pPr>
              <w:rPr>
                <w:rFonts w:ascii="Arial" w:hAnsi="Arial" w:cs="Arial"/>
                <w:b/>
                <w:sz w:val="20"/>
                <w:szCs w:val="20"/>
              </w:rPr>
            </w:pPr>
            <w:r>
              <w:rPr>
                <w:rFonts w:ascii="Arial" w:hAnsi="Arial" w:cs="Arial"/>
                <w:b/>
                <w:sz w:val="20"/>
                <w:szCs w:val="20"/>
              </w:rPr>
              <w:t>Withdrawal income goals</w:t>
            </w:r>
            <w:r w:rsidR="00241F81">
              <w:rPr>
                <w:rFonts w:ascii="Arial" w:hAnsi="Arial" w:cs="Arial"/>
                <w:b/>
                <w:sz w:val="20"/>
                <w:szCs w:val="20"/>
              </w:rPr>
              <w:t>:</w:t>
            </w:r>
          </w:p>
          <w:p w14:paraId="4404BB65" w14:textId="76007E9E" w:rsidR="000448DE" w:rsidRPr="00D07FAE" w:rsidRDefault="000448DE" w:rsidP="000448DE">
            <w:pPr>
              <w:rPr>
                <w:rFonts w:ascii="Arial" w:hAnsi="Arial" w:cs="Arial"/>
                <w:b/>
                <w:sz w:val="20"/>
                <w:szCs w:val="20"/>
              </w:rPr>
            </w:pPr>
          </w:p>
        </w:tc>
        <w:tc>
          <w:tcPr>
            <w:tcW w:w="8526" w:type="dxa"/>
            <w:tcBorders>
              <w:top w:val="single" w:sz="4" w:space="0" w:color="auto"/>
              <w:left w:val="single" w:sz="4" w:space="0" w:color="auto"/>
              <w:bottom w:val="single" w:sz="4" w:space="0" w:color="auto"/>
            </w:tcBorders>
          </w:tcPr>
          <w:p w14:paraId="652D63CC" w14:textId="32FDCFD5" w:rsidR="00367C92" w:rsidRDefault="003D7057" w:rsidP="00367C92">
            <w:pPr>
              <w:pStyle w:val="ListParagraph"/>
              <w:numPr>
                <w:ilvl w:val="0"/>
                <w:numId w:val="15"/>
              </w:numPr>
              <w:rPr>
                <w:rFonts w:ascii="Arial" w:hAnsi="Arial" w:cs="Arial"/>
                <w:sz w:val="20"/>
                <w:szCs w:val="20"/>
              </w:rPr>
            </w:pPr>
            <w:r>
              <w:rPr>
                <w:rFonts w:ascii="Arial" w:hAnsi="Arial" w:cs="Arial"/>
                <w:sz w:val="20"/>
                <w:szCs w:val="20"/>
              </w:rPr>
              <w:t xml:space="preserve">Receive annual withdrawals, starting now, and continuing throughout </w:t>
            </w:r>
            <w:r w:rsidR="009B6FA5">
              <w:rPr>
                <w:rFonts w:ascii="Arial" w:hAnsi="Arial" w:cs="Arial"/>
                <w:sz w:val="20"/>
                <w:szCs w:val="20"/>
              </w:rPr>
              <w:t xml:space="preserve">both </w:t>
            </w:r>
            <w:r>
              <w:rPr>
                <w:rFonts w:ascii="Arial" w:hAnsi="Arial" w:cs="Arial"/>
                <w:sz w:val="20"/>
                <w:szCs w:val="20"/>
              </w:rPr>
              <w:t>your lifetimes</w:t>
            </w:r>
          </w:p>
          <w:p w14:paraId="46EEC6F6" w14:textId="77777777" w:rsidR="000D4134" w:rsidRDefault="003D7057" w:rsidP="00A921B9">
            <w:pPr>
              <w:pStyle w:val="ListParagraph"/>
              <w:numPr>
                <w:ilvl w:val="0"/>
                <w:numId w:val="15"/>
              </w:numPr>
              <w:rPr>
                <w:rFonts w:ascii="Arial" w:hAnsi="Arial" w:cs="Arial"/>
                <w:sz w:val="20"/>
                <w:szCs w:val="20"/>
              </w:rPr>
            </w:pPr>
            <w:r>
              <w:rPr>
                <w:rFonts w:ascii="Arial" w:hAnsi="Arial" w:cs="Arial"/>
                <w:sz w:val="20"/>
                <w:szCs w:val="20"/>
              </w:rPr>
              <w:t>Increase your annual withdrawal each year to offset lost purchasing power from inflation</w:t>
            </w:r>
          </w:p>
          <w:p w14:paraId="3738010D" w14:textId="77777777" w:rsidR="00853C39" w:rsidRDefault="00853C39" w:rsidP="00A921B9">
            <w:pPr>
              <w:pStyle w:val="ListParagraph"/>
              <w:numPr>
                <w:ilvl w:val="0"/>
                <w:numId w:val="15"/>
              </w:numPr>
              <w:rPr>
                <w:rFonts w:ascii="Arial" w:hAnsi="Arial" w:cs="Arial"/>
                <w:sz w:val="20"/>
                <w:szCs w:val="20"/>
              </w:rPr>
            </w:pPr>
            <w:r>
              <w:rPr>
                <w:rFonts w:ascii="Arial" w:hAnsi="Arial" w:cs="Arial"/>
                <w:sz w:val="20"/>
                <w:szCs w:val="20"/>
              </w:rPr>
              <w:t>If possible, pass on any remaining pension wealth to your children</w:t>
            </w:r>
          </w:p>
          <w:p w14:paraId="3BEA0D55" w14:textId="08762361" w:rsidR="00853C39" w:rsidRPr="00853C39" w:rsidRDefault="00853C39" w:rsidP="00853C39">
            <w:pPr>
              <w:rPr>
                <w:rFonts w:ascii="Arial" w:hAnsi="Arial" w:cs="Arial"/>
                <w:sz w:val="20"/>
                <w:szCs w:val="20"/>
              </w:rPr>
            </w:pPr>
          </w:p>
        </w:tc>
      </w:tr>
      <w:tr w:rsidR="00A921B9" w:rsidRPr="00D07FAE" w14:paraId="59ACCE07" w14:textId="77777777" w:rsidTr="00581CAF">
        <w:tc>
          <w:tcPr>
            <w:tcW w:w="2395" w:type="dxa"/>
            <w:tcBorders>
              <w:top w:val="single" w:sz="4" w:space="0" w:color="auto"/>
              <w:bottom w:val="single" w:sz="4" w:space="0" w:color="auto"/>
              <w:right w:val="single" w:sz="4" w:space="0" w:color="auto"/>
            </w:tcBorders>
          </w:tcPr>
          <w:p w14:paraId="45107C74" w14:textId="659E739D" w:rsidR="00A921B9" w:rsidRDefault="00A921B9" w:rsidP="00C1159F">
            <w:pPr>
              <w:rPr>
                <w:rFonts w:ascii="Arial" w:hAnsi="Arial" w:cs="Arial"/>
                <w:b/>
                <w:sz w:val="20"/>
                <w:szCs w:val="20"/>
              </w:rPr>
            </w:pPr>
            <w:r>
              <w:rPr>
                <w:rFonts w:ascii="Arial" w:hAnsi="Arial" w:cs="Arial"/>
                <w:b/>
                <w:sz w:val="20"/>
                <w:szCs w:val="20"/>
              </w:rPr>
              <w:t>Initial withdrawal</w:t>
            </w:r>
            <w:r w:rsidR="0032460F">
              <w:rPr>
                <w:rFonts w:ascii="Arial" w:hAnsi="Arial" w:cs="Arial"/>
                <w:b/>
                <w:sz w:val="20"/>
                <w:szCs w:val="20"/>
              </w:rPr>
              <w:t xml:space="preserve"> rate</w:t>
            </w:r>
            <w:r>
              <w:rPr>
                <w:rFonts w:ascii="Arial" w:hAnsi="Arial" w:cs="Arial"/>
                <w:b/>
                <w:sz w:val="20"/>
                <w:szCs w:val="20"/>
              </w:rPr>
              <w:t>:</w:t>
            </w:r>
          </w:p>
        </w:tc>
        <w:tc>
          <w:tcPr>
            <w:tcW w:w="8526" w:type="dxa"/>
            <w:tcBorders>
              <w:top w:val="single" w:sz="4" w:space="0" w:color="auto"/>
              <w:left w:val="single" w:sz="4" w:space="0" w:color="auto"/>
              <w:bottom w:val="single" w:sz="4" w:space="0" w:color="auto"/>
            </w:tcBorders>
          </w:tcPr>
          <w:p w14:paraId="4C739ECD" w14:textId="67E56C0B" w:rsidR="00A921B9" w:rsidRPr="00416841" w:rsidRDefault="00A921B9" w:rsidP="00367C92">
            <w:pPr>
              <w:pStyle w:val="ListParagraph"/>
              <w:numPr>
                <w:ilvl w:val="0"/>
                <w:numId w:val="15"/>
              </w:numPr>
              <w:rPr>
                <w:rFonts w:ascii="Arial" w:hAnsi="Arial" w:cs="Arial"/>
                <w:sz w:val="20"/>
                <w:szCs w:val="20"/>
              </w:rPr>
            </w:pPr>
            <w:r>
              <w:rPr>
                <w:rFonts w:ascii="Arial" w:hAnsi="Arial" w:cs="Arial"/>
                <w:sz w:val="20"/>
                <w:szCs w:val="20"/>
              </w:rPr>
              <w:t xml:space="preserve">£40,000 per year gross (before tax) – </w:t>
            </w:r>
            <w:r w:rsidRPr="00A921B9">
              <w:rPr>
                <w:rFonts w:ascii="Arial" w:hAnsi="Arial" w:cs="Arial"/>
                <w:i/>
                <w:sz w:val="20"/>
                <w:szCs w:val="20"/>
              </w:rPr>
              <w:t>this is equivalent to 4% of initial portfolio value</w:t>
            </w:r>
          </w:p>
          <w:p w14:paraId="676EC127" w14:textId="0CEA346A" w:rsidR="00416841" w:rsidRDefault="00416841" w:rsidP="00367C92">
            <w:pPr>
              <w:pStyle w:val="ListParagraph"/>
              <w:numPr>
                <w:ilvl w:val="0"/>
                <w:numId w:val="15"/>
              </w:numPr>
              <w:rPr>
                <w:rFonts w:ascii="Arial" w:hAnsi="Arial" w:cs="Arial"/>
                <w:sz w:val="20"/>
                <w:szCs w:val="20"/>
              </w:rPr>
            </w:pPr>
            <w:r>
              <w:rPr>
                <w:rFonts w:ascii="Arial" w:hAnsi="Arial" w:cs="Arial"/>
                <w:sz w:val="20"/>
                <w:szCs w:val="20"/>
              </w:rPr>
              <w:t>This will be paid to you monthly at the rate of £3,333 per month</w:t>
            </w:r>
          </w:p>
          <w:p w14:paraId="24833C4B" w14:textId="12BF357C" w:rsidR="00A921B9" w:rsidRPr="00A921B9" w:rsidRDefault="00A921B9" w:rsidP="00A921B9">
            <w:pPr>
              <w:rPr>
                <w:rFonts w:ascii="Arial" w:hAnsi="Arial" w:cs="Arial"/>
                <w:sz w:val="20"/>
                <w:szCs w:val="20"/>
              </w:rPr>
            </w:pPr>
          </w:p>
        </w:tc>
      </w:tr>
      <w:tr w:rsidR="00416841" w:rsidRPr="00D07FAE" w14:paraId="28A14EBD" w14:textId="77777777" w:rsidTr="00C508B7">
        <w:tc>
          <w:tcPr>
            <w:tcW w:w="2395" w:type="dxa"/>
            <w:tcBorders>
              <w:top w:val="single" w:sz="4" w:space="0" w:color="auto"/>
              <w:bottom w:val="single" w:sz="4" w:space="0" w:color="auto"/>
              <w:right w:val="single" w:sz="4" w:space="0" w:color="auto"/>
            </w:tcBorders>
          </w:tcPr>
          <w:p w14:paraId="548C1F39" w14:textId="58F8AF67" w:rsidR="00416841" w:rsidRPr="00D07FAE" w:rsidRDefault="00CE3910" w:rsidP="00BB409D">
            <w:pPr>
              <w:rPr>
                <w:rFonts w:ascii="Arial" w:hAnsi="Arial" w:cs="Arial"/>
                <w:sz w:val="20"/>
                <w:szCs w:val="20"/>
              </w:rPr>
            </w:pPr>
            <w:r>
              <w:rPr>
                <w:rFonts w:ascii="Arial" w:hAnsi="Arial" w:cs="Arial"/>
                <w:b/>
                <w:sz w:val="20"/>
                <w:szCs w:val="20"/>
              </w:rPr>
              <w:t>Annual inflation</w:t>
            </w:r>
            <w:r w:rsidR="00416841">
              <w:rPr>
                <w:rFonts w:ascii="Arial" w:hAnsi="Arial" w:cs="Arial"/>
                <w:b/>
                <w:sz w:val="20"/>
                <w:szCs w:val="20"/>
              </w:rPr>
              <w:t xml:space="preserve"> adjustment:</w:t>
            </w:r>
            <w:r w:rsidR="00BB409D" w:rsidRPr="00D07FAE">
              <w:rPr>
                <w:rFonts w:ascii="Arial" w:hAnsi="Arial" w:cs="Arial"/>
                <w:sz w:val="20"/>
                <w:szCs w:val="20"/>
              </w:rPr>
              <w:t xml:space="preserve"> </w:t>
            </w:r>
          </w:p>
        </w:tc>
        <w:tc>
          <w:tcPr>
            <w:tcW w:w="8526" w:type="dxa"/>
            <w:tcBorders>
              <w:top w:val="single" w:sz="4" w:space="0" w:color="auto"/>
              <w:left w:val="single" w:sz="4" w:space="0" w:color="auto"/>
              <w:bottom w:val="single" w:sz="4" w:space="0" w:color="auto"/>
            </w:tcBorders>
          </w:tcPr>
          <w:p w14:paraId="248A8390" w14:textId="3882F4CD" w:rsidR="00416841" w:rsidRPr="00416841" w:rsidRDefault="00416841" w:rsidP="00416841">
            <w:pPr>
              <w:jc w:val="both"/>
              <w:rPr>
                <w:rFonts w:ascii="Arial" w:hAnsi="Arial" w:cs="Arial"/>
                <w:b/>
                <w:sz w:val="20"/>
                <w:szCs w:val="20"/>
              </w:rPr>
            </w:pPr>
            <w:r w:rsidRPr="00416841">
              <w:rPr>
                <w:rFonts w:ascii="Arial" w:hAnsi="Arial" w:cs="Arial"/>
                <w:b/>
                <w:sz w:val="20"/>
                <w:szCs w:val="20"/>
              </w:rPr>
              <w:t>Method 1</w:t>
            </w:r>
          </w:p>
          <w:p w14:paraId="2610EE3D" w14:textId="7AB6F0AD" w:rsidR="00416841" w:rsidRDefault="00416841" w:rsidP="00416841">
            <w:pPr>
              <w:jc w:val="both"/>
              <w:rPr>
                <w:rFonts w:ascii="Arial" w:hAnsi="Arial" w:cs="Arial"/>
                <w:sz w:val="20"/>
                <w:szCs w:val="20"/>
              </w:rPr>
            </w:pPr>
            <w:r>
              <w:rPr>
                <w:rFonts w:ascii="Arial" w:hAnsi="Arial" w:cs="Arial"/>
                <w:sz w:val="20"/>
                <w:szCs w:val="20"/>
              </w:rPr>
              <w:t>To maintain the long-term sustainability of your lifestyle and withdrawal objectives, your annual withdrawal amount will increase by the prior year’s inflation rate, unless:</w:t>
            </w:r>
          </w:p>
          <w:p w14:paraId="385DE01F" w14:textId="0232E8AA" w:rsidR="00416841" w:rsidRDefault="00416841" w:rsidP="00416841">
            <w:pPr>
              <w:pStyle w:val="ListParagraph"/>
              <w:numPr>
                <w:ilvl w:val="0"/>
                <w:numId w:val="19"/>
              </w:numPr>
              <w:jc w:val="both"/>
              <w:rPr>
                <w:rFonts w:ascii="Arial" w:hAnsi="Arial" w:cs="Arial"/>
                <w:sz w:val="20"/>
                <w:szCs w:val="20"/>
              </w:rPr>
            </w:pPr>
            <w:r>
              <w:rPr>
                <w:rFonts w:ascii="Arial" w:hAnsi="Arial" w:cs="Arial"/>
                <w:sz w:val="20"/>
                <w:szCs w:val="20"/>
              </w:rPr>
              <w:t>You decide to keep your withdrawal amount the same in some years</w:t>
            </w:r>
          </w:p>
          <w:p w14:paraId="761472C2" w14:textId="3F52855B" w:rsidR="00416841" w:rsidRDefault="00416841" w:rsidP="00416841">
            <w:pPr>
              <w:pStyle w:val="ListParagraph"/>
              <w:numPr>
                <w:ilvl w:val="0"/>
                <w:numId w:val="19"/>
              </w:numPr>
              <w:jc w:val="both"/>
              <w:rPr>
                <w:rFonts w:ascii="Arial" w:hAnsi="Arial" w:cs="Arial"/>
                <w:sz w:val="20"/>
                <w:szCs w:val="20"/>
              </w:rPr>
            </w:pPr>
            <w:r>
              <w:rPr>
                <w:rFonts w:ascii="Arial" w:hAnsi="Arial" w:cs="Arial"/>
                <w:sz w:val="20"/>
                <w:szCs w:val="20"/>
              </w:rPr>
              <w:t>Inflation is above 5%, in which case the increase is limited to 5%</w:t>
            </w:r>
          </w:p>
          <w:p w14:paraId="5BD2BC4A" w14:textId="6B0EF6C0" w:rsidR="00416841" w:rsidRDefault="00416841" w:rsidP="00416841">
            <w:pPr>
              <w:pStyle w:val="ListParagraph"/>
              <w:numPr>
                <w:ilvl w:val="0"/>
                <w:numId w:val="19"/>
              </w:numPr>
              <w:jc w:val="both"/>
              <w:rPr>
                <w:rFonts w:ascii="Arial" w:hAnsi="Arial" w:cs="Arial"/>
                <w:sz w:val="20"/>
                <w:szCs w:val="20"/>
              </w:rPr>
            </w:pPr>
            <w:r>
              <w:rPr>
                <w:rFonts w:ascii="Arial" w:hAnsi="Arial" w:cs="Arial"/>
                <w:sz w:val="20"/>
                <w:szCs w:val="20"/>
              </w:rPr>
              <w:t>Inflation is negative, in which case the increase will be 0%</w:t>
            </w:r>
          </w:p>
          <w:p w14:paraId="381D187D" w14:textId="730B7940" w:rsidR="00416841" w:rsidRDefault="00416841" w:rsidP="00416841">
            <w:pPr>
              <w:jc w:val="both"/>
              <w:rPr>
                <w:rFonts w:ascii="Arial" w:hAnsi="Arial" w:cs="Arial"/>
                <w:sz w:val="20"/>
                <w:szCs w:val="20"/>
              </w:rPr>
            </w:pPr>
          </w:p>
          <w:p w14:paraId="1A379380" w14:textId="3CF74807" w:rsidR="00416841" w:rsidRPr="00416841" w:rsidRDefault="00416841" w:rsidP="00416841">
            <w:pPr>
              <w:jc w:val="both"/>
              <w:rPr>
                <w:rFonts w:ascii="Arial" w:hAnsi="Arial" w:cs="Arial"/>
                <w:b/>
                <w:sz w:val="20"/>
                <w:szCs w:val="20"/>
              </w:rPr>
            </w:pPr>
            <w:r w:rsidRPr="00416841">
              <w:rPr>
                <w:rFonts w:ascii="Arial" w:hAnsi="Arial" w:cs="Arial"/>
                <w:b/>
                <w:sz w:val="20"/>
                <w:szCs w:val="20"/>
              </w:rPr>
              <w:t>Method 2</w:t>
            </w:r>
          </w:p>
          <w:p w14:paraId="3685C660" w14:textId="42C4A2BA" w:rsidR="00416841" w:rsidRDefault="00416841" w:rsidP="00416841">
            <w:pPr>
              <w:jc w:val="both"/>
              <w:rPr>
                <w:rFonts w:ascii="Arial" w:hAnsi="Arial" w:cs="Arial"/>
                <w:sz w:val="20"/>
                <w:szCs w:val="20"/>
              </w:rPr>
            </w:pPr>
            <w:r>
              <w:rPr>
                <w:rFonts w:ascii="Arial" w:hAnsi="Arial" w:cs="Arial"/>
                <w:sz w:val="20"/>
                <w:szCs w:val="20"/>
              </w:rPr>
              <w:t>To maintain the long-term sustainability of your lifestyle and withdrawal objectives, your annual withdrawal amount will increase by the prior year’s inflation rate, unless:</w:t>
            </w:r>
          </w:p>
          <w:p w14:paraId="451830EF" w14:textId="77777777" w:rsidR="00416841" w:rsidRDefault="00416841" w:rsidP="00416841">
            <w:pPr>
              <w:pStyle w:val="ListParagraph"/>
              <w:numPr>
                <w:ilvl w:val="0"/>
                <w:numId w:val="19"/>
              </w:numPr>
              <w:jc w:val="both"/>
              <w:rPr>
                <w:rFonts w:ascii="Arial" w:hAnsi="Arial" w:cs="Arial"/>
                <w:sz w:val="20"/>
                <w:szCs w:val="20"/>
              </w:rPr>
            </w:pPr>
            <w:r>
              <w:rPr>
                <w:rFonts w:ascii="Arial" w:hAnsi="Arial" w:cs="Arial"/>
                <w:sz w:val="20"/>
                <w:szCs w:val="20"/>
              </w:rPr>
              <w:t>You decide to keep your withdrawal amount the same in some years</w:t>
            </w:r>
          </w:p>
          <w:p w14:paraId="1FB4867C" w14:textId="26C1F177" w:rsidR="00416841" w:rsidRDefault="00416841" w:rsidP="00416841">
            <w:pPr>
              <w:pStyle w:val="ListParagraph"/>
              <w:numPr>
                <w:ilvl w:val="0"/>
                <w:numId w:val="19"/>
              </w:numPr>
              <w:jc w:val="both"/>
              <w:rPr>
                <w:rFonts w:ascii="Arial" w:hAnsi="Arial" w:cs="Arial"/>
                <w:sz w:val="20"/>
                <w:szCs w:val="20"/>
              </w:rPr>
            </w:pPr>
            <w:r>
              <w:rPr>
                <w:rFonts w:ascii="Arial" w:hAnsi="Arial" w:cs="Arial"/>
                <w:sz w:val="20"/>
                <w:szCs w:val="20"/>
              </w:rPr>
              <w:t xml:space="preserve">Next years withdrawal amount would make the withdrawal rate more than 6.5%. If so, next years withdrawal amount is </w:t>
            </w:r>
            <w:r w:rsidRPr="00853C39">
              <w:rPr>
                <w:rFonts w:ascii="Arial" w:hAnsi="Arial" w:cs="Arial"/>
                <w:sz w:val="20"/>
                <w:szCs w:val="20"/>
                <w:u w:val="single"/>
              </w:rPr>
              <w:t>reduced</w:t>
            </w:r>
            <w:r>
              <w:rPr>
                <w:rFonts w:ascii="Arial" w:hAnsi="Arial" w:cs="Arial"/>
                <w:sz w:val="20"/>
                <w:szCs w:val="20"/>
              </w:rPr>
              <w:t xml:space="preserve"> by 10% </w:t>
            </w:r>
            <w:r w:rsidR="002515BD">
              <w:rPr>
                <w:rFonts w:ascii="Arial" w:hAnsi="Arial" w:cs="Arial"/>
                <w:sz w:val="20"/>
                <w:szCs w:val="20"/>
              </w:rPr>
              <w:t>from the level</w:t>
            </w:r>
            <w:r>
              <w:rPr>
                <w:rFonts w:ascii="Arial" w:hAnsi="Arial" w:cs="Arial"/>
                <w:sz w:val="20"/>
                <w:szCs w:val="20"/>
              </w:rPr>
              <w:t xml:space="preserve"> it would have been with the inflation adjustment.</w:t>
            </w:r>
          </w:p>
          <w:p w14:paraId="281CB3B4" w14:textId="1760B8C2" w:rsidR="00416841" w:rsidRDefault="00416841" w:rsidP="00416841">
            <w:pPr>
              <w:pStyle w:val="ListParagraph"/>
              <w:numPr>
                <w:ilvl w:val="0"/>
                <w:numId w:val="19"/>
              </w:numPr>
              <w:jc w:val="both"/>
              <w:rPr>
                <w:rFonts w:ascii="Arial" w:hAnsi="Arial" w:cs="Arial"/>
                <w:sz w:val="20"/>
                <w:szCs w:val="20"/>
              </w:rPr>
            </w:pPr>
            <w:r>
              <w:rPr>
                <w:rFonts w:ascii="Arial" w:hAnsi="Arial" w:cs="Arial"/>
                <w:sz w:val="20"/>
                <w:szCs w:val="20"/>
              </w:rPr>
              <w:t xml:space="preserve">Next years withdrawal amount would make your withdrawal rate less than 2.5%. If so, next years withdrawal amount is </w:t>
            </w:r>
            <w:r w:rsidRPr="00853C39">
              <w:rPr>
                <w:rFonts w:ascii="Arial" w:hAnsi="Arial" w:cs="Arial"/>
                <w:sz w:val="20"/>
                <w:szCs w:val="20"/>
                <w:u w:val="single"/>
              </w:rPr>
              <w:t>increased</w:t>
            </w:r>
            <w:r>
              <w:rPr>
                <w:rFonts w:ascii="Arial" w:hAnsi="Arial" w:cs="Arial"/>
                <w:sz w:val="20"/>
                <w:szCs w:val="20"/>
              </w:rPr>
              <w:t xml:space="preserve"> by 10% from </w:t>
            </w:r>
            <w:r w:rsidR="0057128B">
              <w:rPr>
                <w:rFonts w:ascii="Arial" w:hAnsi="Arial" w:cs="Arial"/>
                <w:sz w:val="20"/>
                <w:szCs w:val="20"/>
              </w:rPr>
              <w:t>the level</w:t>
            </w:r>
            <w:r>
              <w:rPr>
                <w:rFonts w:ascii="Arial" w:hAnsi="Arial" w:cs="Arial"/>
                <w:sz w:val="20"/>
                <w:szCs w:val="20"/>
              </w:rPr>
              <w:t xml:space="preserve"> it would have been with the inflation adjustment.</w:t>
            </w:r>
          </w:p>
          <w:p w14:paraId="4C71ADEA" w14:textId="77777777" w:rsidR="00213515" w:rsidRPr="00213515" w:rsidRDefault="00213515" w:rsidP="00213515">
            <w:pPr>
              <w:pStyle w:val="ListParagraph"/>
              <w:numPr>
                <w:ilvl w:val="0"/>
                <w:numId w:val="19"/>
              </w:numPr>
              <w:jc w:val="both"/>
              <w:rPr>
                <w:rFonts w:ascii="Arial" w:hAnsi="Arial" w:cs="Arial"/>
                <w:sz w:val="20"/>
                <w:szCs w:val="20"/>
              </w:rPr>
            </w:pPr>
            <w:r>
              <w:rPr>
                <w:rFonts w:ascii="Arial" w:hAnsi="Arial" w:cs="Arial"/>
                <w:sz w:val="20"/>
                <w:szCs w:val="20"/>
              </w:rPr>
              <w:t>If neither of the last two points applies, but the prior years investment return was negative, your withdrawal amount should remain the same as it was for the previous year.</w:t>
            </w:r>
          </w:p>
          <w:p w14:paraId="47266FF1" w14:textId="52E23E02" w:rsidR="00416841" w:rsidRPr="00213515" w:rsidRDefault="00213515" w:rsidP="00213515">
            <w:pPr>
              <w:jc w:val="both"/>
              <w:rPr>
                <w:rFonts w:ascii="Arial" w:hAnsi="Arial" w:cs="Arial"/>
                <w:sz w:val="20"/>
                <w:szCs w:val="20"/>
              </w:rPr>
            </w:pPr>
            <w:r w:rsidRPr="00213515">
              <w:rPr>
                <w:rFonts w:ascii="Arial" w:hAnsi="Arial" w:cs="Arial"/>
                <w:sz w:val="20"/>
                <w:szCs w:val="20"/>
              </w:rPr>
              <w:t xml:space="preserve"> </w:t>
            </w:r>
          </w:p>
        </w:tc>
      </w:tr>
      <w:tr w:rsidR="00A6441F" w:rsidRPr="00D07FAE" w14:paraId="62310551" w14:textId="77777777" w:rsidTr="00581CAF">
        <w:tc>
          <w:tcPr>
            <w:tcW w:w="2395" w:type="dxa"/>
            <w:tcBorders>
              <w:top w:val="single" w:sz="4" w:space="0" w:color="auto"/>
              <w:bottom w:val="single" w:sz="4" w:space="0" w:color="auto"/>
              <w:right w:val="single" w:sz="4" w:space="0" w:color="auto"/>
            </w:tcBorders>
          </w:tcPr>
          <w:p w14:paraId="392A5939" w14:textId="232F2B57" w:rsidR="00A6441F" w:rsidRPr="00D07FAE" w:rsidRDefault="00AC7897" w:rsidP="002A3C10">
            <w:pPr>
              <w:rPr>
                <w:rFonts w:ascii="Arial" w:hAnsi="Arial" w:cs="Arial"/>
                <w:sz w:val="20"/>
                <w:szCs w:val="20"/>
              </w:rPr>
            </w:pPr>
            <w:r>
              <w:rPr>
                <w:rFonts w:ascii="Arial" w:hAnsi="Arial" w:cs="Arial"/>
                <w:b/>
                <w:sz w:val="20"/>
                <w:szCs w:val="20"/>
              </w:rPr>
              <w:t>Sources of withdrawals</w:t>
            </w:r>
            <w:r w:rsidR="00241F81">
              <w:rPr>
                <w:rFonts w:ascii="Arial" w:hAnsi="Arial" w:cs="Arial"/>
                <w:b/>
                <w:sz w:val="20"/>
                <w:szCs w:val="20"/>
              </w:rPr>
              <w:t>:</w:t>
            </w:r>
          </w:p>
          <w:p w14:paraId="28ADB3EE" w14:textId="77777777" w:rsidR="00A6441F" w:rsidRPr="00D07FAE" w:rsidRDefault="00A6441F" w:rsidP="00C1159F">
            <w:pPr>
              <w:jc w:val="right"/>
              <w:rPr>
                <w:rFonts w:ascii="Arial" w:hAnsi="Arial" w:cs="Arial"/>
                <w:sz w:val="20"/>
                <w:szCs w:val="20"/>
              </w:rPr>
            </w:pPr>
          </w:p>
        </w:tc>
        <w:tc>
          <w:tcPr>
            <w:tcW w:w="8526" w:type="dxa"/>
            <w:tcBorders>
              <w:top w:val="single" w:sz="4" w:space="0" w:color="auto"/>
              <w:left w:val="single" w:sz="4" w:space="0" w:color="auto"/>
              <w:bottom w:val="single" w:sz="4" w:space="0" w:color="auto"/>
            </w:tcBorders>
          </w:tcPr>
          <w:p w14:paraId="4180165E" w14:textId="1F7D4F40" w:rsidR="000D4134" w:rsidRPr="008006EF" w:rsidRDefault="008006EF" w:rsidP="008006EF">
            <w:pPr>
              <w:jc w:val="both"/>
              <w:rPr>
                <w:rFonts w:ascii="Arial" w:hAnsi="Arial" w:cs="Arial"/>
                <w:b/>
                <w:sz w:val="20"/>
                <w:szCs w:val="20"/>
              </w:rPr>
            </w:pPr>
            <w:r w:rsidRPr="008006EF">
              <w:rPr>
                <w:rFonts w:ascii="Arial" w:hAnsi="Arial" w:cs="Arial"/>
                <w:b/>
                <w:sz w:val="20"/>
                <w:szCs w:val="20"/>
              </w:rPr>
              <w:t>Method 1</w:t>
            </w:r>
          </w:p>
          <w:p w14:paraId="3D14164B" w14:textId="7D94BD9F" w:rsidR="00266A9E" w:rsidRDefault="00266A9E" w:rsidP="008006EF">
            <w:pPr>
              <w:pStyle w:val="ListParagraph"/>
              <w:numPr>
                <w:ilvl w:val="0"/>
                <w:numId w:val="17"/>
              </w:numPr>
              <w:jc w:val="both"/>
              <w:rPr>
                <w:rFonts w:ascii="Arial" w:hAnsi="Arial" w:cs="Arial"/>
                <w:sz w:val="20"/>
                <w:szCs w:val="20"/>
              </w:rPr>
            </w:pPr>
            <w:r>
              <w:rPr>
                <w:rFonts w:ascii="Arial" w:hAnsi="Arial" w:cs="Arial"/>
                <w:sz w:val="20"/>
                <w:szCs w:val="20"/>
              </w:rPr>
              <w:t>Withdrawals should be funded from the wrapper cash account (cash buffer)</w:t>
            </w:r>
          </w:p>
          <w:p w14:paraId="25561A46" w14:textId="45166C78" w:rsidR="008006EF" w:rsidRDefault="00266A9E" w:rsidP="008006EF">
            <w:pPr>
              <w:pStyle w:val="ListParagraph"/>
              <w:numPr>
                <w:ilvl w:val="0"/>
                <w:numId w:val="17"/>
              </w:numPr>
              <w:jc w:val="both"/>
              <w:rPr>
                <w:rFonts w:ascii="Arial" w:hAnsi="Arial" w:cs="Arial"/>
                <w:sz w:val="20"/>
                <w:szCs w:val="20"/>
              </w:rPr>
            </w:pPr>
            <w:r>
              <w:rPr>
                <w:rFonts w:ascii="Arial" w:hAnsi="Arial" w:cs="Arial"/>
                <w:sz w:val="20"/>
                <w:szCs w:val="20"/>
              </w:rPr>
              <w:t xml:space="preserve">The </w:t>
            </w:r>
            <w:r w:rsidR="008006EF">
              <w:rPr>
                <w:rFonts w:ascii="Arial" w:hAnsi="Arial" w:cs="Arial"/>
                <w:sz w:val="20"/>
                <w:szCs w:val="20"/>
              </w:rPr>
              <w:t xml:space="preserve">cash buffer </w:t>
            </w:r>
            <w:r>
              <w:rPr>
                <w:rFonts w:ascii="Arial" w:hAnsi="Arial" w:cs="Arial"/>
                <w:sz w:val="20"/>
                <w:szCs w:val="20"/>
              </w:rPr>
              <w:t>should hold a minimum of</w:t>
            </w:r>
            <w:r w:rsidR="008006EF">
              <w:rPr>
                <w:rFonts w:ascii="Arial" w:hAnsi="Arial" w:cs="Arial"/>
                <w:sz w:val="20"/>
                <w:szCs w:val="20"/>
              </w:rPr>
              <w:t xml:space="preserve"> </w:t>
            </w:r>
            <w:r w:rsidR="008006EF" w:rsidRPr="00266A9E">
              <w:rPr>
                <w:rFonts w:ascii="Arial" w:hAnsi="Arial" w:cs="Arial"/>
                <w:color w:val="FF0000"/>
                <w:sz w:val="20"/>
                <w:szCs w:val="20"/>
              </w:rPr>
              <w:t>one/two/three</w:t>
            </w:r>
            <w:r w:rsidR="00671667">
              <w:rPr>
                <w:rFonts w:ascii="Arial" w:hAnsi="Arial" w:cs="Arial"/>
                <w:color w:val="FF0000"/>
                <w:sz w:val="20"/>
                <w:szCs w:val="20"/>
              </w:rPr>
              <w:t>/four/five</w:t>
            </w:r>
            <w:r w:rsidR="008006EF" w:rsidRPr="00266A9E">
              <w:rPr>
                <w:rFonts w:ascii="Arial" w:hAnsi="Arial" w:cs="Arial"/>
                <w:color w:val="FF0000"/>
                <w:sz w:val="20"/>
                <w:szCs w:val="20"/>
              </w:rPr>
              <w:t xml:space="preserve"> </w:t>
            </w:r>
            <w:r>
              <w:rPr>
                <w:rFonts w:ascii="Arial" w:hAnsi="Arial" w:cs="Arial"/>
                <w:sz w:val="20"/>
                <w:szCs w:val="20"/>
              </w:rPr>
              <w:t>years’ worth</w:t>
            </w:r>
            <w:r w:rsidR="008006EF">
              <w:rPr>
                <w:rFonts w:ascii="Arial" w:hAnsi="Arial" w:cs="Arial"/>
                <w:sz w:val="20"/>
                <w:szCs w:val="20"/>
              </w:rPr>
              <w:t xml:space="preserve"> of annual withdrawals</w:t>
            </w:r>
            <w:r w:rsidR="00853C39">
              <w:rPr>
                <w:rFonts w:ascii="Arial" w:hAnsi="Arial" w:cs="Arial"/>
                <w:sz w:val="20"/>
                <w:szCs w:val="20"/>
              </w:rPr>
              <w:t>. This is based on the historic evidence that markets generally recover within 3</w:t>
            </w:r>
            <w:r w:rsidR="00671667">
              <w:rPr>
                <w:rFonts w:ascii="Arial" w:hAnsi="Arial" w:cs="Arial"/>
                <w:sz w:val="20"/>
                <w:szCs w:val="20"/>
              </w:rPr>
              <w:t xml:space="preserve"> to 5</w:t>
            </w:r>
            <w:r w:rsidR="00853C39">
              <w:rPr>
                <w:rFonts w:ascii="Arial" w:hAnsi="Arial" w:cs="Arial"/>
                <w:sz w:val="20"/>
                <w:szCs w:val="20"/>
              </w:rPr>
              <w:t xml:space="preserve"> years of a market crash</w:t>
            </w:r>
            <w:r w:rsidR="00671667">
              <w:rPr>
                <w:rFonts w:ascii="Arial" w:hAnsi="Arial" w:cs="Arial"/>
                <w:sz w:val="20"/>
                <w:szCs w:val="20"/>
              </w:rPr>
              <w:t>, so it would seem prudent to have sufficient cash to avoid selling assets when they have fallen in value.</w:t>
            </w:r>
          </w:p>
          <w:p w14:paraId="24FD8A74" w14:textId="6F067EA1" w:rsidR="008006EF" w:rsidRDefault="008006EF" w:rsidP="008006EF">
            <w:pPr>
              <w:pStyle w:val="ListParagraph"/>
              <w:numPr>
                <w:ilvl w:val="0"/>
                <w:numId w:val="17"/>
              </w:numPr>
              <w:jc w:val="both"/>
              <w:rPr>
                <w:rFonts w:ascii="Arial" w:hAnsi="Arial" w:cs="Arial"/>
                <w:sz w:val="20"/>
                <w:szCs w:val="20"/>
              </w:rPr>
            </w:pPr>
            <w:r>
              <w:rPr>
                <w:rFonts w:ascii="Arial" w:hAnsi="Arial" w:cs="Arial"/>
                <w:sz w:val="20"/>
                <w:szCs w:val="20"/>
              </w:rPr>
              <w:t>The cash buffer account should be topped</w:t>
            </w:r>
            <w:r w:rsidR="00671667">
              <w:rPr>
                <w:rFonts w:ascii="Arial" w:hAnsi="Arial" w:cs="Arial"/>
                <w:sz w:val="20"/>
                <w:szCs w:val="20"/>
              </w:rPr>
              <w:t xml:space="preserve"> up at each annual review</w:t>
            </w:r>
            <w:r>
              <w:rPr>
                <w:rFonts w:ascii="Arial" w:hAnsi="Arial" w:cs="Arial"/>
                <w:sz w:val="20"/>
                <w:szCs w:val="20"/>
              </w:rPr>
              <w:t xml:space="preserve"> by selling proportionally across all assets, unless </w:t>
            </w:r>
            <w:r w:rsidR="00266A9E">
              <w:rPr>
                <w:rFonts w:ascii="Arial" w:hAnsi="Arial" w:cs="Arial"/>
                <w:sz w:val="20"/>
                <w:szCs w:val="20"/>
              </w:rPr>
              <w:t>portfolio returns have been negative for the previous year</w:t>
            </w:r>
            <w:r w:rsidR="00671667">
              <w:rPr>
                <w:rFonts w:ascii="Arial" w:hAnsi="Arial" w:cs="Arial"/>
                <w:sz w:val="20"/>
                <w:szCs w:val="20"/>
              </w:rPr>
              <w:t>.</w:t>
            </w:r>
          </w:p>
          <w:p w14:paraId="6D824A67" w14:textId="49557D50" w:rsidR="008006EF" w:rsidRPr="00266A9E" w:rsidRDefault="00266A9E" w:rsidP="00E531CD">
            <w:pPr>
              <w:pStyle w:val="ListParagraph"/>
              <w:numPr>
                <w:ilvl w:val="0"/>
                <w:numId w:val="17"/>
              </w:numPr>
              <w:jc w:val="both"/>
              <w:rPr>
                <w:rFonts w:ascii="Arial" w:hAnsi="Arial" w:cs="Arial"/>
                <w:sz w:val="20"/>
                <w:szCs w:val="20"/>
              </w:rPr>
            </w:pPr>
            <w:r w:rsidRPr="00266A9E">
              <w:rPr>
                <w:rFonts w:ascii="Arial" w:hAnsi="Arial" w:cs="Arial"/>
                <w:sz w:val="20"/>
                <w:szCs w:val="20"/>
              </w:rPr>
              <w:t>If the cash buffer is fully depleted due to multiple years of negative returns, annual withdrawals will have to be met by selling proportionally across all assets</w:t>
            </w:r>
            <w:r>
              <w:rPr>
                <w:rFonts w:ascii="Arial" w:hAnsi="Arial" w:cs="Arial"/>
                <w:sz w:val="20"/>
                <w:szCs w:val="20"/>
              </w:rPr>
              <w:t xml:space="preserve"> until such time as the cash buffer can be topped up</w:t>
            </w:r>
          </w:p>
          <w:p w14:paraId="0C856DAC" w14:textId="75CD088B" w:rsidR="008006EF" w:rsidRDefault="008006EF" w:rsidP="008006EF">
            <w:pPr>
              <w:jc w:val="both"/>
              <w:rPr>
                <w:rFonts w:ascii="Arial" w:hAnsi="Arial" w:cs="Arial"/>
                <w:sz w:val="20"/>
                <w:szCs w:val="20"/>
              </w:rPr>
            </w:pPr>
          </w:p>
          <w:p w14:paraId="55CDAB04" w14:textId="424B25AE" w:rsidR="008006EF" w:rsidRPr="008006EF" w:rsidRDefault="008006EF" w:rsidP="008006EF">
            <w:pPr>
              <w:jc w:val="both"/>
              <w:rPr>
                <w:rFonts w:ascii="Arial" w:hAnsi="Arial" w:cs="Arial"/>
                <w:b/>
                <w:sz w:val="20"/>
                <w:szCs w:val="20"/>
              </w:rPr>
            </w:pPr>
            <w:r w:rsidRPr="008006EF">
              <w:rPr>
                <w:rFonts w:ascii="Arial" w:hAnsi="Arial" w:cs="Arial"/>
                <w:b/>
                <w:sz w:val="20"/>
                <w:szCs w:val="20"/>
              </w:rPr>
              <w:t>Method 2</w:t>
            </w:r>
          </w:p>
          <w:p w14:paraId="250D1FE1" w14:textId="75CBBBEB" w:rsidR="00266A9E" w:rsidRDefault="00266A9E" w:rsidP="008006EF">
            <w:pPr>
              <w:pStyle w:val="ListParagraph"/>
              <w:numPr>
                <w:ilvl w:val="0"/>
                <w:numId w:val="16"/>
              </w:numPr>
              <w:jc w:val="both"/>
              <w:rPr>
                <w:rFonts w:ascii="Arial" w:hAnsi="Arial" w:cs="Arial"/>
                <w:sz w:val="20"/>
                <w:szCs w:val="20"/>
              </w:rPr>
            </w:pPr>
            <w:r>
              <w:rPr>
                <w:rFonts w:ascii="Arial" w:hAnsi="Arial" w:cs="Arial"/>
                <w:sz w:val="20"/>
                <w:szCs w:val="20"/>
              </w:rPr>
              <w:t xml:space="preserve">Starting with one </w:t>
            </w:r>
            <w:proofErr w:type="spellStart"/>
            <w:proofErr w:type="gramStart"/>
            <w:r>
              <w:rPr>
                <w:rFonts w:ascii="Arial" w:hAnsi="Arial" w:cs="Arial"/>
                <w:sz w:val="20"/>
                <w:szCs w:val="20"/>
              </w:rPr>
              <w:t>years</w:t>
            </w:r>
            <w:proofErr w:type="gramEnd"/>
            <w:r>
              <w:rPr>
                <w:rFonts w:ascii="Arial" w:hAnsi="Arial" w:cs="Arial"/>
                <w:sz w:val="20"/>
                <w:szCs w:val="20"/>
              </w:rPr>
              <w:t xml:space="preserve"> worth</w:t>
            </w:r>
            <w:proofErr w:type="spellEnd"/>
            <w:r>
              <w:rPr>
                <w:rFonts w:ascii="Arial" w:hAnsi="Arial" w:cs="Arial"/>
                <w:sz w:val="20"/>
                <w:szCs w:val="20"/>
              </w:rPr>
              <w:t xml:space="preserve"> of annual withdrawals in the wrapper cash account</w:t>
            </w:r>
          </w:p>
          <w:p w14:paraId="57F15848" w14:textId="29FB342B" w:rsidR="008006EF" w:rsidRDefault="008006EF" w:rsidP="008006EF">
            <w:pPr>
              <w:pStyle w:val="ListParagraph"/>
              <w:numPr>
                <w:ilvl w:val="0"/>
                <w:numId w:val="16"/>
              </w:numPr>
              <w:jc w:val="both"/>
              <w:rPr>
                <w:rFonts w:ascii="Arial" w:hAnsi="Arial" w:cs="Arial"/>
                <w:sz w:val="20"/>
                <w:szCs w:val="20"/>
              </w:rPr>
            </w:pPr>
            <w:r>
              <w:rPr>
                <w:rFonts w:ascii="Arial" w:hAnsi="Arial" w:cs="Arial"/>
                <w:sz w:val="20"/>
                <w:szCs w:val="20"/>
              </w:rPr>
              <w:lastRenderedPageBreak/>
              <w:t>Following years with positive returns that cause equities to exceed target allocation, the excess amount should be sold and reinvested in Cash or Fixed Interest to fund future withdrawals.</w:t>
            </w:r>
          </w:p>
          <w:p w14:paraId="43D3B3E0" w14:textId="36AC2068" w:rsidR="008006EF" w:rsidRDefault="008006EF" w:rsidP="008006EF">
            <w:pPr>
              <w:pStyle w:val="ListParagraph"/>
              <w:numPr>
                <w:ilvl w:val="0"/>
                <w:numId w:val="16"/>
              </w:numPr>
              <w:jc w:val="both"/>
              <w:rPr>
                <w:rFonts w:ascii="Arial" w:hAnsi="Arial" w:cs="Arial"/>
                <w:sz w:val="20"/>
                <w:szCs w:val="20"/>
              </w:rPr>
            </w:pPr>
            <w:r>
              <w:rPr>
                <w:rFonts w:ascii="Arial" w:hAnsi="Arial" w:cs="Arial"/>
                <w:sz w:val="20"/>
                <w:szCs w:val="20"/>
              </w:rPr>
              <w:t>Yearly withdrawals are funded from equities when markets are favourable and from cash/fixed interest when they are not using this priority:</w:t>
            </w:r>
          </w:p>
          <w:p w14:paraId="046411A6" w14:textId="09523DAE" w:rsidR="008006EF" w:rsidRDefault="008006EF" w:rsidP="008006EF">
            <w:pPr>
              <w:pStyle w:val="ListParagraph"/>
              <w:numPr>
                <w:ilvl w:val="1"/>
                <w:numId w:val="16"/>
              </w:numPr>
              <w:jc w:val="both"/>
              <w:rPr>
                <w:rFonts w:ascii="Arial" w:hAnsi="Arial" w:cs="Arial"/>
                <w:sz w:val="20"/>
                <w:szCs w:val="20"/>
              </w:rPr>
            </w:pPr>
            <w:r>
              <w:rPr>
                <w:rFonts w:ascii="Arial" w:hAnsi="Arial" w:cs="Arial"/>
                <w:sz w:val="20"/>
                <w:szCs w:val="20"/>
              </w:rPr>
              <w:t>Cash</w:t>
            </w:r>
          </w:p>
          <w:p w14:paraId="79B58506" w14:textId="593A7BB2" w:rsidR="008006EF" w:rsidRDefault="008006EF" w:rsidP="008006EF">
            <w:pPr>
              <w:pStyle w:val="ListParagraph"/>
              <w:numPr>
                <w:ilvl w:val="1"/>
                <w:numId w:val="16"/>
              </w:numPr>
              <w:jc w:val="both"/>
              <w:rPr>
                <w:rFonts w:ascii="Arial" w:hAnsi="Arial" w:cs="Arial"/>
                <w:sz w:val="20"/>
                <w:szCs w:val="20"/>
              </w:rPr>
            </w:pPr>
            <w:r>
              <w:rPr>
                <w:rFonts w:ascii="Arial" w:hAnsi="Arial" w:cs="Arial"/>
                <w:sz w:val="20"/>
                <w:szCs w:val="20"/>
              </w:rPr>
              <w:t>Sell fixed interest</w:t>
            </w:r>
          </w:p>
          <w:p w14:paraId="33A83F2B" w14:textId="0301FB88" w:rsidR="008006EF" w:rsidRDefault="008006EF" w:rsidP="008006EF">
            <w:pPr>
              <w:pStyle w:val="ListParagraph"/>
              <w:numPr>
                <w:ilvl w:val="1"/>
                <w:numId w:val="16"/>
              </w:numPr>
              <w:jc w:val="both"/>
              <w:rPr>
                <w:rFonts w:ascii="Arial" w:hAnsi="Arial" w:cs="Arial"/>
                <w:sz w:val="20"/>
                <w:szCs w:val="20"/>
              </w:rPr>
            </w:pPr>
            <w:r>
              <w:rPr>
                <w:rFonts w:ascii="Arial" w:hAnsi="Arial" w:cs="Arial"/>
                <w:sz w:val="20"/>
                <w:szCs w:val="20"/>
              </w:rPr>
              <w:t>Sell equities in descending order of prior year’s performance</w:t>
            </w:r>
          </w:p>
          <w:p w14:paraId="5CBA83C5" w14:textId="38503C28" w:rsidR="008006EF" w:rsidRPr="008006EF" w:rsidRDefault="008006EF" w:rsidP="008006EF">
            <w:pPr>
              <w:pStyle w:val="ListParagraph"/>
              <w:numPr>
                <w:ilvl w:val="0"/>
                <w:numId w:val="16"/>
              </w:numPr>
              <w:jc w:val="both"/>
              <w:rPr>
                <w:rFonts w:ascii="Arial" w:hAnsi="Arial" w:cs="Arial"/>
                <w:sz w:val="20"/>
                <w:szCs w:val="20"/>
              </w:rPr>
            </w:pPr>
            <w:r>
              <w:rPr>
                <w:rFonts w:ascii="Arial" w:hAnsi="Arial" w:cs="Arial"/>
                <w:sz w:val="20"/>
                <w:szCs w:val="20"/>
              </w:rPr>
              <w:t xml:space="preserve">No withdrawals are funded by selling an equity asset after a negative return year </w:t>
            </w:r>
            <w:proofErr w:type="gramStart"/>
            <w:r>
              <w:rPr>
                <w:rFonts w:ascii="Arial" w:hAnsi="Arial" w:cs="Arial"/>
                <w:sz w:val="20"/>
                <w:szCs w:val="20"/>
              </w:rPr>
              <w:t>as long as</w:t>
            </w:r>
            <w:proofErr w:type="gramEnd"/>
            <w:r>
              <w:rPr>
                <w:rFonts w:ascii="Arial" w:hAnsi="Arial" w:cs="Arial"/>
                <w:sz w:val="20"/>
                <w:szCs w:val="20"/>
              </w:rPr>
              <w:t xml:space="preserve"> cash or fixed interest assets are able to fund that year’s withdrawal amount.</w:t>
            </w:r>
          </w:p>
          <w:p w14:paraId="618FBC20" w14:textId="69E6F7BA" w:rsidR="008006EF" w:rsidRPr="008006EF" w:rsidRDefault="008006EF" w:rsidP="008006EF">
            <w:pPr>
              <w:jc w:val="both"/>
              <w:rPr>
                <w:rFonts w:ascii="Arial" w:hAnsi="Arial" w:cs="Arial"/>
                <w:sz w:val="20"/>
                <w:szCs w:val="20"/>
              </w:rPr>
            </w:pPr>
          </w:p>
        </w:tc>
      </w:tr>
      <w:tr w:rsidR="00BB409D" w:rsidRPr="00D07FAE" w14:paraId="780D065C" w14:textId="77777777" w:rsidTr="00C508B7">
        <w:tc>
          <w:tcPr>
            <w:tcW w:w="2395" w:type="dxa"/>
            <w:tcBorders>
              <w:top w:val="single" w:sz="4" w:space="0" w:color="auto"/>
              <w:bottom w:val="single" w:sz="4" w:space="0" w:color="auto"/>
              <w:right w:val="single" w:sz="4" w:space="0" w:color="auto"/>
            </w:tcBorders>
          </w:tcPr>
          <w:p w14:paraId="6EBFE3B0" w14:textId="77777777" w:rsidR="00BB409D" w:rsidRPr="000448DE" w:rsidRDefault="00BB409D" w:rsidP="00C508B7">
            <w:pPr>
              <w:rPr>
                <w:rFonts w:ascii="Arial" w:hAnsi="Arial" w:cs="Arial"/>
                <w:i/>
                <w:sz w:val="20"/>
                <w:szCs w:val="20"/>
                <w:lang w:val="en-US"/>
              </w:rPr>
            </w:pPr>
            <w:r>
              <w:rPr>
                <w:rFonts w:ascii="Arial" w:hAnsi="Arial" w:cs="Arial"/>
                <w:b/>
                <w:sz w:val="20"/>
                <w:szCs w:val="20"/>
              </w:rPr>
              <w:lastRenderedPageBreak/>
              <w:t>Unexpected expenses:</w:t>
            </w:r>
          </w:p>
          <w:p w14:paraId="528ECDEC" w14:textId="77777777" w:rsidR="00BB409D" w:rsidRPr="000448DE" w:rsidRDefault="00BB409D" w:rsidP="00C508B7">
            <w:pPr>
              <w:rPr>
                <w:rFonts w:ascii="Arial" w:hAnsi="Arial" w:cs="Arial"/>
                <w:b/>
                <w:sz w:val="20"/>
                <w:szCs w:val="20"/>
                <w:lang w:val="en-US"/>
              </w:rPr>
            </w:pPr>
          </w:p>
        </w:tc>
        <w:tc>
          <w:tcPr>
            <w:tcW w:w="8526" w:type="dxa"/>
            <w:tcBorders>
              <w:top w:val="single" w:sz="4" w:space="0" w:color="auto"/>
              <w:left w:val="single" w:sz="4" w:space="0" w:color="auto"/>
              <w:bottom w:val="single" w:sz="4" w:space="0" w:color="auto"/>
            </w:tcBorders>
          </w:tcPr>
          <w:p w14:paraId="2BB47F6B" w14:textId="5DE4D6F0" w:rsidR="00BB409D" w:rsidRDefault="00BB409D" w:rsidP="00BB409D">
            <w:pPr>
              <w:jc w:val="both"/>
              <w:rPr>
                <w:rFonts w:ascii="Arial" w:hAnsi="Arial" w:cs="Arial"/>
                <w:sz w:val="20"/>
                <w:szCs w:val="20"/>
              </w:rPr>
            </w:pPr>
            <w:r>
              <w:rPr>
                <w:rFonts w:ascii="Arial" w:hAnsi="Arial" w:cs="Arial"/>
                <w:sz w:val="20"/>
                <w:szCs w:val="20"/>
              </w:rPr>
              <w:t>We agreed that if you require a withdrawal to meet any one-off expenses in between annual drawdown reviews these would be met where possible using cash, otherwise a proportional withdrawal against overall portfolio would be made. The impact of this withdrawal on long term sustainability of the portfolio will be fully assessed at the next annual review.</w:t>
            </w:r>
          </w:p>
          <w:p w14:paraId="58D82B96" w14:textId="1141FDDB" w:rsidR="00BB409D" w:rsidRPr="00D07FAE" w:rsidRDefault="00BB409D" w:rsidP="00BB409D">
            <w:pPr>
              <w:jc w:val="both"/>
              <w:rPr>
                <w:rFonts w:ascii="Arial" w:hAnsi="Arial" w:cs="Arial"/>
                <w:sz w:val="20"/>
                <w:szCs w:val="20"/>
              </w:rPr>
            </w:pPr>
            <w:r w:rsidRPr="00D07FAE">
              <w:rPr>
                <w:rFonts w:ascii="Arial" w:hAnsi="Arial" w:cs="Arial"/>
                <w:sz w:val="20"/>
                <w:szCs w:val="20"/>
              </w:rPr>
              <w:t xml:space="preserve"> </w:t>
            </w:r>
          </w:p>
        </w:tc>
      </w:tr>
      <w:tr w:rsidR="00967C36" w:rsidRPr="00D07FAE" w14:paraId="386FAC8E" w14:textId="77777777" w:rsidTr="00C508B7">
        <w:tc>
          <w:tcPr>
            <w:tcW w:w="2395" w:type="dxa"/>
            <w:tcBorders>
              <w:top w:val="single" w:sz="4" w:space="0" w:color="auto"/>
              <w:bottom w:val="single" w:sz="4" w:space="0" w:color="auto"/>
              <w:right w:val="single" w:sz="4" w:space="0" w:color="auto"/>
            </w:tcBorders>
          </w:tcPr>
          <w:p w14:paraId="546E11EE" w14:textId="70A19D41" w:rsidR="00967C36" w:rsidRPr="007B20D3" w:rsidRDefault="00E17870" w:rsidP="00C508B7">
            <w:pPr>
              <w:rPr>
                <w:rFonts w:ascii="Arial" w:hAnsi="Arial" w:cs="Arial"/>
                <w:b/>
                <w:sz w:val="20"/>
                <w:szCs w:val="20"/>
              </w:rPr>
            </w:pPr>
            <w:r>
              <w:rPr>
                <w:rFonts w:ascii="Arial" w:hAnsi="Arial" w:cs="Arial"/>
                <w:b/>
                <w:sz w:val="20"/>
                <w:szCs w:val="20"/>
              </w:rPr>
              <w:t>Annual review process:</w:t>
            </w:r>
          </w:p>
        </w:tc>
        <w:tc>
          <w:tcPr>
            <w:tcW w:w="8526" w:type="dxa"/>
            <w:tcBorders>
              <w:top w:val="single" w:sz="4" w:space="0" w:color="auto"/>
              <w:left w:val="single" w:sz="4" w:space="0" w:color="auto"/>
              <w:bottom w:val="single" w:sz="4" w:space="0" w:color="auto"/>
            </w:tcBorders>
          </w:tcPr>
          <w:p w14:paraId="1DB2B247" w14:textId="3F48922D" w:rsidR="00967C36" w:rsidRPr="00213515" w:rsidRDefault="00967C36" w:rsidP="00C508B7">
            <w:pPr>
              <w:pStyle w:val="ListParagraph"/>
              <w:numPr>
                <w:ilvl w:val="0"/>
                <w:numId w:val="6"/>
              </w:numPr>
              <w:jc w:val="both"/>
              <w:rPr>
                <w:rFonts w:ascii="Arial" w:hAnsi="Arial" w:cs="Arial"/>
                <w:sz w:val="20"/>
                <w:szCs w:val="20"/>
              </w:rPr>
            </w:pPr>
            <w:r w:rsidRPr="00213515">
              <w:rPr>
                <w:rFonts w:ascii="Arial" w:hAnsi="Arial" w:cs="Arial"/>
                <w:sz w:val="20"/>
                <w:szCs w:val="20"/>
              </w:rPr>
              <w:t>We will review your withdrawal strategy as part of the annual</w:t>
            </w:r>
            <w:r w:rsidR="00BB409D">
              <w:rPr>
                <w:rFonts w:ascii="Arial" w:hAnsi="Arial" w:cs="Arial"/>
                <w:sz w:val="20"/>
                <w:szCs w:val="20"/>
              </w:rPr>
              <w:t xml:space="preserve"> drawdown</w:t>
            </w:r>
            <w:r w:rsidRPr="00213515">
              <w:rPr>
                <w:rFonts w:ascii="Arial" w:hAnsi="Arial" w:cs="Arial"/>
                <w:sz w:val="20"/>
                <w:szCs w:val="20"/>
              </w:rPr>
              <w:t xml:space="preserve"> review service we provide to you. This will include the following:</w:t>
            </w:r>
          </w:p>
          <w:p w14:paraId="770DFBE8" w14:textId="0FFEFB2A" w:rsidR="00967C36" w:rsidRDefault="00967C36" w:rsidP="00C508B7">
            <w:pPr>
              <w:pStyle w:val="ListParagraph"/>
              <w:numPr>
                <w:ilvl w:val="1"/>
                <w:numId w:val="6"/>
              </w:numPr>
              <w:jc w:val="both"/>
              <w:rPr>
                <w:rFonts w:ascii="Arial" w:hAnsi="Arial" w:cs="Arial"/>
                <w:sz w:val="20"/>
                <w:szCs w:val="20"/>
              </w:rPr>
            </w:pPr>
            <w:r w:rsidRPr="00213515">
              <w:rPr>
                <w:rFonts w:ascii="Arial" w:hAnsi="Arial" w:cs="Arial"/>
                <w:sz w:val="20"/>
                <w:szCs w:val="20"/>
              </w:rPr>
              <w:t xml:space="preserve">Analysis of the </w:t>
            </w:r>
            <w:proofErr w:type="gramStart"/>
            <w:r w:rsidR="00BB409D">
              <w:rPr>
                <w:rFonts w:ascii="Arial" w:hAnsi="Arial" w:cs="Arial"/>
                <w:sz w:val="20"/>
                <w:szCs w:val="20"/>
              </w:rPr>
              <w:t>long term</w:t>
            </w:r>
            <w:proofErr w:type="gramEnd"/>
            <w:r w:rsidR="00BB409D">
              <w:rPr>
                <w:rFonts w:ascii="Arial" w:hAnsi="Arial" w:cs="Arial"/>
                <w:sz w:val="20"/>
                <w:szCs w:val="20"/>
              </w:rPr>
              <w:t xml:space="preserve"> </w:t>
            </w:r>
            <w:r w:rsidRPr="00213515">
              <w:rPr>
                <w:rFonts w:ascii="Arial" w:hAnsi="Arial" w:cs="Arial"/>
                <w:sz w:val="20"/>
                <w:szCs w:val="20"/>
              </w:rPr>
              <w:t>sustainability of your present withdrawal strategy</w:t>
            </w:r>
          </w:p>
          <w:p w14:paraId="22DDB92D" w14:textId="3A6F6173" w:rsidR="00967C36" w:rsidRDefault="00671667" w:rsidP="00671667">
            <w:pPr>
              <w:pStyle w:val="ListParagraph"/>
              <w:numPr>
                <w:ilvl w:val="1"/>
                <w:numId w:val="6"/>
              </w:numPr>
              <w:jc w:val="both"/>
              <w:rPr>
                <w:rFonts w:ascii="Arial" w:hAnsi="Arial" w:cs="Arial"/>
                <w:sz w:val="20"/>
                <w:szCs w:val="20"/>
              </w:rPr>
            </w:pPr>
            <w:r>
              <w:rPr>
                <w:rFonts w:ascii="Arial" w:hAnsi="Arial" w:cs="Arial"/>
                <w:sz w:val="20"/>
                <w:szCs w:val="20"/>
              </w:rPr>
              <w:t>Topping up of any cash buffers through the sale of assets</w:t>
            </w:r>
          </w:p>
          <w:p w14:paraId="2E5E3229" w14:textId="43F643C3" w:rsidR="00213515" w:rsidRDefault="00671667" w:rsidP="00C508B7">
            <w:pPr>
              <w:pStyle w:val="ListParagraph"/>
              <w:numPr>
                <w:ilvl w:val="1"/>
                <w:numId w:val="6"/>
              </w:numPr>
              <w:jc w:val="both"/>
              <w:rPr>
                <w:rFonts w:ascii="Arial" w:hAnsi="Arial" w:cs="Arial"/>
                <w:sz w:val="20"/>
                <w:szCs w:val="20"/>
              </w:rPr>
            </w:pPr>
            <w:r>
              <w:rPr>
                <w:rFonts w:ascii="Arial" w:hAnsi="Arial" w:cs="Arial"/>
                <w:sz w:val="20"/>
                <w:szCs w:val="20"/>
              </w:rPr>
              <w:t>Consideration of</w:t>
            </w:r>
            <w:r w:rsidR="00213515">
              <w:rPr>
                <w:rFonts w:ascii="Arial" w:hAnsi="Arial" w:cs="Arial"/>
                <w:sz w:val="20"/>
                <w:szCs w:val="20"/>
              </w:rPr>
              <w:t xml:space="preserve"> any additional one-off withdrawals</w:t>
            </w:r>
          </w:p>
          <w:p w14:paraId="599270F2" w14:textId="034DB020" w:rsidR="00BB409D" w:rsidRPr="00213515" w:rsidRDefault="00BB409D" w:rsidP="00C508B7">
            <w:pPr>
              <w:pStyle w:val="ListParagraph"/>
              <w:numPr>
                <w:ilvl w:val="1"/>
                <w:numId w:val="6"/>
              </w:numPr>
              <w:jc w:val="both"/>
              <w:rPr>
                <w:rFonts w:ascii="Arial" w:hAnsi="Arial" w:cs="Arial"/>
                <w:sz w:val="20"/>
                <w:szCs w:val="20"/>
              </w:rPr>
            </w:pPr>
            <w:r>
              <w:rPr>
                <w:rFonts w:ascii="Arial" w:hAnsi="Arial" w:cs="Arial"/>
                <w:sz w:val="20"/>
                <w:szCs w:val="20"/>
              </w:rPr>
              <w:t xml:space="preserve">Consideration of whether to </w:t>
            </w:r>
            <w:proofErr w:type="spellStart"/>
            <w:r>
              <w:rPr>
                <w:rFonts w:ascii="Arial" w:hAnsi="Arial" w:cs="Arial"/>
                <w:sz w:val="20"/>
                <w:szCs w:val="20"/>
              </w:rPr>
              <w:t>annuitise</w:t>
            </w:r>
            <w:proofErr w:type="spellEnd"/>
            <w:r>
              <w:rPr>
                <w:rFonts w:ascii="Arial" w:hAnsi="Arial" w:cs="Arial"/>
                <w:sz w:val="20"/>
                <w:szCs w:val="20"/>
              </w:rPr>
              <w:t xml:space="preserve"> all or part of your portfolio</w:t>
            </w:r>
          </w:p>
          <w:p w14:paraId="704594F0" w14:textId="77777777" w:rsidR="00967C36" w:rsidRPr="00AE4034" w:rsidRDefault="00967C36" w:rsidP="00C508B7">
            <w:pPr>
              <w:jc w:val="both"/>
              <w:rPr>
                <w:rFonts w:ascii="Arial" w:hAnsi="Arial" w:cs="Arial"/>
                <w:sz w:val="20"/>
                <w:szCs w:val="20"/>
              </w:rPr>
            </w:pPr>
          </w:p>
        </w:tc>
      </w:tr>
      <w:tr w:rsidR="00A6441F" w:rsidRPr="00D07FAE" w14:paraId="24019320" w14:textId="77777777" w:rsidTr="00581CAF">
        <w:tc>
          <w:tcPr>
            <w:tcW w:w="2395" w:type="dxa"/>
            <w:tcBorders>
              <w:top w:val="single" w:sz="4" w:space="0" w:color="auto"/>
              <w:bottom w:val="single" w:sz="4" w:space="0" w:color="auto"/>
              <w:right w:val="single" w:sz="4" w:space="0" w:color="auto"/>
            </w:tcBorders>
          </w:tcPr>
          <w:p w14:paraId="31D76106" w14:textId="46D413CF" w:rsidR="00A6441F" w:rsidRPr="007B20D3" w:rsidRDefault="00967C36" w:rsidP="00C1159F">
            <w:pPr>
              <w:rPr>
                <w:rFonts w:ascii="Arial" w:hAnsi="Arial" w:cs="Arial"/>
                <w:b/>
                <w:sz w:val="20"/>
                <w:szCs w:val="20"/>
              </w:rPr>
            </w:pPr>
            <w:r>
              <w:rPr>
                <w:rFonts w:ascii="Arial" w:hAnsi="Arial" w:cs="Arial"/>
                <w:b/>
                <w:sz w:val="20"/>
                <w:szCs w:val="20"/>
              </w:rPr>
              <w:t>Annuitisation strate</w:t>
            </w:r>
            <w:r w:rsidR="00671667">
              <w:rPr>
                <w:rFonts w:ascii="Arial" w:hAnsi="Arial" w:cs="Arial"/>
                <w:b/>
                <w:sz w:val="20"/>
                <w:szCs w:val="20"/>
              </w:rPr>
              <w:t>gy</w:t>
            </w:r>
            <w:r w:rsidR="00A6441F" w:rsidRPr="007B20D3">
              <w:rPr>
                <w:rFonts w:ascii="Arial" w:hAnsi="Arial" w:cs="Arial"/>
                <w:b/>
                <w:sz w:val="20"/>
                <w:szCs w:val="20"/>
              </w:rPr>
              <w:t>:</w:t>
            </w:r>
          </w:p>
        </w:tc>
        <w:tc>
          <w:tcPr>
            <w:tcW w:w="8526" w:type="dxa"/>
            <w:tcBorders>
              <w:top w:val="single" w:sz="4" w:space="0" w:color="auto"/>
              <w:left w:val="single" w:sz="4" w:space="0" w:color="auto"/>
              <w:bottom w:val="single" w:sz="4" w:space="0" w:color="auto"/>
            </w:tcBorders>
          </w:tcPr>
          <w:p w14:paraId="2631DEDB" w14:textId="576B6B45" w:rsidR="00AE4034" w:rsidRDefault="00967C36" w:rsidP="00967C36">
            <w:pPr>
              <w:jc w:val="both"/>
              <w:rPr>
                <w:rFonts w:ascii="Arial" w:eastAsia="Times New Roman" w:hAnsi="Arial" w:cs="Arial"/>
                <w:sz w:val="20"/>
                <w:szCs w:val="20"/>
                <w:lang w:eastAsia="en-GB"/>
              </w:rPr>
            </w:pPr>
            <w:r>
              <w:rPr>
                <w:rFonts w:ascii="Arial" w:eastAsia="Times New Roman" w:hAnsi="Arial" w:cs="Arial"/>
                <w:sz w:val="20"/>
                <w:szCs w:val="20"/>
                <w:lang w:eastAsia="en-GB"/>
              </w:rPr>
              <w:t>Whilst you prefer the idea of drawdown given the flexibility and ability to pass any remaining fund to spouse/children, we agreed annuities shouldn’t be completely ruled out in the future</w:t>
            </w:r>
            <w:r w:rsidR="00213515">
              <w:rPr>
                <w:rFonts w:ascii="Arial" w:eastAsia="Times New Roman" w:hAnsi="Arial" w:cs="Arial"/>
                <w:sz w:val="20"/>
                <w:szCs w:val="20"/>
                <w:lang w:eastAsia="en-GB"/>
              </w:rPr>
              <w:t xml:space="preserve"> given the certainty of income they can provide. We therefore agreed that we would consider</w:t>
            </w:r>
            <w:r w:rsidR="00853C39">
              <w:rPr>
                <w:rFonts w:ascii="Arial" w:eastAsia="Times New Roman" w:hAnsi="Arial" w:cs="Arial"/>
                <w:sz w:val="20"/>
                <w:szCs w:val="20"/>
                <w:lang w:eastAsia="en-GB"/>
              </w:rPr>
              <w:t xml:space="preserve"> whether to </w:t>
            </w:r>
            <w:proofErr w:type="spellStart"/>
            <w:r w:rsidR="00853C39">
              <w:rPr>
                <w:rFonts w:ascii="Arial" w:eastAsia="Times New Roman" w:hAnsi="Arial" w:cs="Arial"/>
                <w:sz w:val="20"/>
                <w:szCs w:val="20"/>
                <w:lang w:eastAsia="en-GB"/>
              </w:rPr>
              <w:t>annuitise</w:t>
            </w:r>
            <w:proofErr w:type="spellEnd"/>
            <w:r w:rsidR="00853C39">
              <w:rPr>
                <w:rFonts w:ascii="Arial" w:eastAsia="Times New Roman" w:hAnsi="Arial" w:cs="Arial"/>
                <w:sz w:val="20"/>
                <w:szCs w:val="20"/>
                <w:lang w:eastAsia="en-GB"/>
              </w:rPr>
              <w:t xml:space="preserve">, either partly or fully, </w:t>
            </w:r>
            <w:r w:rsidR="00213515">
              <w:rPr>
                <w:rFonts w:ascii="Arial" w:eastAsia="Times New Roman" w:hAnsi="Arial" w:cs="Arial"/>
                <w:sz w:val="20"/>
                <w:szCs w:val="20"/>
                <w:lang w:eastAsia="en-GB"/>
              </w:rPr>
              <w:t>each year</w:t>
            </w:r>
            <w:r w:rsidR="00DA2BD8">
              <w:rPr>
                <w:rFonts w:ascii="Arial" w:eastAsia="Times New Roman" w:hAnsi="Arial" w:cs="Arial"/>
                <w:sz w:val="20"/>
                <w:szCs w:val="20"/>
                <w:lang w:eastAsia="en-GB"/>
              </w:rPr>
              <w:t xml:space="preserve"> taking into account </w:t>
            </w:r>
            <w:r w:rsidR="00213515">
              <w:rPr>
                <w:rFonts w:ascii="Arial" w:eastAsia="Times New Roman" w:hAnsi="Arial" w:cs="Arial"/>
                <w:sz w:val="20"/>
                <w:szCs w:val="20"/>
                <w:lang w:eastAsia="en-GB"/>
              </w:rPr>
              <w:t>best annuity rate</w:t>
            </w:r>
            <w:r w:rsidR="00DA2BD8">
              <w:rPr>
                <w:rFonts w:ascii="Arial" w:eastAsia="Times New Roman" w:hAnsi="Arial" w:cs="Arial"/>
                <w:sz w:val="20"/>
                <w:szCs w:val="20"/>
                <w:lang w:eastAsia="en-GB"/>
              </w:rPr>
              <w:t>s</w:t>
            </w:r>
            <w:r w:rsidR="00213515">
              <w:rPr>
                <w:rFonts w:ascii="Arial" w:eastAsia="Times New Roman" w:hAnsi="Arial" w:cs="Arial"/>
                <w:sz w:val="20"/>
                <w:szCs w:val="20"/>
                <w:lang w:eastAsia="en-GB"/>
              </w:rPr>
              <w:t xml:space="preserve"> available</w:t>
            </w:r>
            <w:r w:rsidR="00853C39">
              <w:rPr>
                <w:rFonts w:ascii="Arial" w:eastAsia="Times New Roman" w:hAnsi="Arial" w:cs="Arial"/>
                <w:sz w:val="20"/>
                <w:szCs w:val="20"/>
                <w:lang w:eastAsia="en-GB"/>
              </w:rPr>
              <w:t xml:space="preserve"> at that time</w:t>
            </w:r>
            <w:r w:rsidR="00DA2BD8">
              <w:rPr>
                <w:rFonts w:ascii="Arial" w:eastAsia="Times New Roman" w:hAnsi="Arial" w:cs="Arial"/>
                <w:sz w:val="20"/>
                <w:szCs w:val="20"/>
                <w:lang w:eastAsia="en-GB"/>
              </w:rPr>
              <w:t xml:space="preserve"> and keeping a record of thi</w:t>
            </w:r>
            <w:r w:rsidR="00BB409D">
              <w:rPr>
                <w:rFonts w:ascii="Arial" w:eastAsia="Times New Roman" w:hAnsi="Arial" w:cs="Arial"/>
                <w:sz w:val="20"/>
                <w:szCs w:val="20"/>
                <w:lang w:eastAsia="en-GB"/>
              </w:rPr>
              <w:t>s to refer to in future years.</w:t>
            </w:r>
          </w:p>
          <w:p w14:paraId="60EE0CD8" w14:textId="276FA6F7" w:rsidR="00213515" w:rsidRDefault="00213515" w:rsidP="00967C36">
            <w:pPr>
              <w:jc w:val="both"/>
              <w:rPr>
                <w:rFonts w:ascii="Arial" w:eastAsia="Times New Roman" w:hAnsi="Arial" w:cs="Arial"/>
                <w:sz w:val="20"/>
                <w:szCs w:val="20"/>
                <w:lang w:eastAsia="en-GB"/>
              </w:rPr>
            </w:pPr>
          </w:p>
          <w:p w14:paraId="01652C2C" w14:textId="16B22988" w:rsidR="00213515" w:rsidRDefault="00213515" w:rsidP="00967C36">
            <w:pPr>
              <w:jc w:val="both"/>
              <w:rPr>
                <w:rFonts w:ascii="Arial" w:eastAsia="Times New Roman" w:hAnsi="Arial" w:cs="Arial"/>
                <w:sz w:val="20"/>
                <w:szCs w:val="20"/>
                <w:lang w:eastAsia="en-GB"/>
              </w:rPr>
            </w:pPr>
            <w:r w:rsidRPr="00CE3910">
              <w:rPr>
                <w:rFonts w:ascii="Arial" w:eastAsia="Times New Roman" w:hAnsi="Arial" w:cs="Arial"/>
                <w:b/>
                <w:sz w:val="20"/>
                <w:szCs w:val="20"/>
                <w:lang w:eastAsia="en-GB"/>
              </w:rPr>
              <w:t>Annuity shape:</w:t>
            </w:r>
            <w:r>
              <w:rPr>
                <w:rFonts w:ascii="Arial" w:eastAsia="Times New Roman" w:hAnsi="Arial" w:cs="Arial"/>
                <w:sz w:val="20"/>
                <w:szCs w:val="20"/>
                <w:lang w:eastAsia="en-GB"/>
              </w:rPr>
              <w:t xml:space="preserve"> </w:t>
            </w:r>
            <w:r w:rsidRPr="00853C39">
              <w:rPr>
                <w:rFonts w:ascii="Arial" w:eastAsia="Times New Roman" w:hAnsi="Arial" w:cs="Arial"/>
                <w:i/>
                <w:sz w:val="20"/>
                <w:szCs w:val="20"/>
                <w:lang w:eastAsia="en-GB"/>
              </w:rPr>
              <w:t xml:space="preserve">joint life, 100% </w:t>
            </w:r>
            <w:proofErr w:type="gramStart"/>
            <w:r w:rsidRPr="00853C39">
              <w:rPr>
                <w:rFonts w:ascii="Arial" w:eastAsia="Times New Roman" w:hAnsi="Arial" w:cs="Arial"/>
                <w:i/>
                <w:sz w:val="20"/>
                <w:szCs w:val="20"/>
                <w:lang w:eastAsia="en-GB"/>
              </w:rPr>
              <w:t>spouses</w:t>
            </w:r>
            <w:proofErr w:type="gramEnd"/>
            <w:r w:rsidRPr="00853C39">
              <w:rPr>
                <w:rFonts w:ascii="Arial" w:eastAsia="Times New Roman" w:hAnsi="Arial" w:cs="Arial"/>
                <w:i/>
                <w:sz w:val="20"/>
                <w:szCs w:val="20"/>
                <w:lang w:eastAsia="en-GB"/>
              </w:rPr>
              <w:t xml:space="preserve"> benefit</w:t>
            </w:r>
            <w:r w:rsidR="00853C39">
              <w:rPr>
                <w:rFonts w:ascii="Arial" w:eastAsia="Times New Roman" w:hAnsi="Arial" w:cs="Arial"/>
                <w:i/>
                <w:sz w:val="20"/>
                <w:szCs w:val="20"/>
                <w:lang w:eastAsia="en-GB"/>
              </w:rPr>
              <w:t>, 10 year guarantee</w:t>
            </w:r>
          </w:p>
          <w:p w14:paraId="2FC2782F" w14:textId="52897A11" w:rsidR="00213515" w:rsidRDefault="00213515" w:rsidP="00213515">
            <w:pPr>
              <w:jc w:val="center"/>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1885"/>
              <w:gridCol w:w="3260"/>
              <w:gridCol w:w="3155"/>
            </w:tblGrid>
            <w:tr w:rsidR="00853C39" w14:paraId="6CAA305C" w14:textId="77777777" w:rsidTr="00C508B7">
              <w:tc>
                <w:tcPr>
                  <w:tcW w:w="1885" w:type="dxa"/>
                </w:tcPr>
                <w:p w14:paraId="74D333A7" w14:textId="77777777" w:rsidR="00853C39" w:rsidRPr="00213515" w:rsidRDefault="00853C39" w:rsidP="00853C39">
                  <w:pPr>
                    <w:jc w:val="center"/>
                    <w:rPr>
                      <w:rFonts w:ascii="Arial" w:eastAsia="Times New Roman" w:hAnsi="Arial" w:cs="Arial"/>
                      <w:b/>
                      <w:sz w:val="20"/>
                      <w:szCs w:val="20"/>
                      <w:lang w:eastAsia="en-GB"/>
                    </w:rPr>
                  </w:pPr>
                  <w:r w:rsidRPr="00213515">
                    <w:rPr>
                      <w:rFonts w:ascii="Arial" w:eastAsia="Times New Roman" w:hAnsi="Arial" w:cs="Arial"/>
                      <w:b/>
                      <w:sz w:val="20"/>
                      <w:szCs w:val="20"/>
                      <w:lang w:eastAsia="en-GB"/>
                    </w:rPr>
                    <w:t>Age</w:t>
                  </w:r>
                </w:p>
              </w:tc>
              <w:tc>
                <w:tcPr>
                  <w:tcW w:w="3260" w:type="dxa"/>
                </w:tcPr>
                <w:p w14:paraId="65718806" w14:textId="5EDEB0B2" w:rsidR="00853C39" w:rsidRPr="00213515" w:rsidRDefault="00853C39" w:rsidP="00853C39">
                  <w:pPr>
                    <w:jc w:val="center"/>
                    <w:rPr>
                      <w:rFonts w:ascii="Arial" w:eastAsia="Times New Roman" w:hAnsi="Arial" w:cs="Arial"/>
                      <w:b/>
                      <w:sz w:val="20"/>
                      <w:szCs w:val="20"/>
                      <w:lang w:eastAsia="en-GB"/>
                    </w:rPr>
                  </w:pPr>
                  <w:r w:rsidRPr="00213515">
                    <w:rPr>
                      <w:rFonts w:ascii="Arial" w:eastAsia="Times New Roman" w:hAnsi="Arial" w:cs="Arial"/>
                      <w:b/>
                      <w:sz w:val="20"/>
                      <w:szCs w:val="20"/>
                      <w:lang w:eastAsia="en-GB"/>
                    </w:rPr>
                    <w:t>Level (no inflation protection</w:t>
                  </w:r>
                  <w:r w:rsidR="00DA2BD8">
                    <w:rPr>
                      <w:rFonts w:ascii="Arial" w:eastAsia="Times New Roman" w:hAnsi="Arial" w:cs="Arial"/>
                      <w:b/>
                      <w:sz w:val="20"/>
                      <w:szCs w:val="20"/>
                      <w:lang w:eastAsia="en-GB"/>
                    </w:rPr>
                    <w:t>)</w:t>
                  </w:r>
                </w:p>
              </w:tc>
              <w:tc>
                <w:tcPr>
                  <w:tcW w:w="3155" w:type="dxa"/>
                </w:tcPr>
                <w:p w14:paraId="4F7C3FD8" w14:textId="77777777" w:rsidR="00853C39" w:rsidRPr="00213515" w:rsidRDefault="00853C39" w:rsidP="00853C39">
                  <w:pPr>
                    <w:jc w:val="center"/>
                    <w:rPr>
                      <w:rFonts w:ascii="Arial" w:eastAsia="Times New Roman" w:hAnsi="Arial" w:cs="Arial"/>
                      <w:b/>
                      <w:sz w:val="20"/>
                      <w:szCs w:val="20"/>
                      <w:lang w:eastAsia="en-GB"/>
                    </w:rPr>
                  </w:pPr>
                  <w:r w:rsidRPr="00213515">
                    <w:rPr>
                      <w:rFonts w:ascii="Arial" w:eastAsia="Times New Roman" w:hAnsi="Arial" w:cs="Arial"/>
                      <w:b/>
                      <w:sz w:val="20"/>
                      <w:szCs w:val="20"/>
                      <w:lang w:eastAsia="en-GB"/>
                    </w:rPr>
                    <w:t>RPI (inflation protection)</w:t>
                  </w:r>
                </w:p>
              </w:tc>
            </w:tr>
            <w:tr w:rsidR="00853C39" w14:paraId="766433C5" w14:textId="77777777" w:rsidTr="00C508B7">
              <w:tc>
                <w:tcPr>
                  <w:tcW w:w="1885" w:type="dxa"/>
                </w:tcPr>
                <w:p w14:paraId="580E3308" w14:textId="77777777" w:rsidR="00853C39" w:rsidRDefault="00853C39" w:rsidP="00853C39">
                  <w:pPr>
                    <w:jc w:val="center"/>
                    <w:rPr>
                      <w:rFonts w:ascii="Arial" w:eastAsia="Times New Roman" w:hAnsi="Arial" w:cs="Arial"/>
                      <w:sz w:val="20"/>
                      <w:szCs w:val="20"/>
                      <w:lang w:eastAsia="en-GB"/>
                    </w:rPr>
                  </w:pPr>
                  <w:r>
                    <w:rPr>
                      <w:rFonts w:ascii="Arial" w:eastAsia="Times New Roman" w:hAnsi="Arial" w:cs="Arial"/>
                      <w:sz w:val="20"/>
                      <w:szCs w:val="20"/>
                      <w:lang w:eastAsia="en-GB"/>
                    </w:rPr>
                    <w:t>65 (start)</w:t>
                  </w:r>
                </w:p>
              </w:tc>
              <w:tc>
                <w:tcPr>
                  <w:tcW w:w="3260" w:type="dxa"/>
                </w:tcPr>
                <w:p w14:paraId="33C88C41" w14:textId="7CBF6829" w:rsidR="00853C39" w:rsidRDefault="00853C39" w:rsidP="00853C39">
                  <w:pPr>
                    <w:jc w:val="center"/>
                    <w:rPr>
                      <w:rFonts w:ascii="Arial" w:eastAsia="Times New Roman" w:hAnsi="Arial" w:cs="Arial"/>
                      <w:sz w:val="20"/>
                      <w:szCs w:val="20"/>
                      <w:lang w:eastAsia="en-GB"/>
                    </w:rPr>
                  </w:pPr>
                  <w:r>
                    <w:rPr>
                      <w:rFonts w:ascii="Arial" w:eastAsia="Times New Roman" w:hAnsi="Arial" w:cs="Arial"/>
                      <w:sz w:val="20"/>
                      <w:szCs w:val="20"/>
                      <w:lang w:eastAsia="en-GB"/>
                    </w:rPr>
                    <w:t>£42,000</w:t>
                  </w:r>
                  <w:r w:rsidR="00DA2BD8">
                    <w:rPr>
                      <w:rFonts w:ascii="Arial" w:eastAsia="Times New Roman" w:hAnsi="Arial" w:cs="Arial"/>
                      <w:sz w:val="20"/>
                      <w:szCs w:val="20"/>
                      <w:lang w:eastAsia="en-GB"/>
                    </w:rPr>
                    <w:t xml:space="preserve"> / 4.2%</w:t>
                  </w:r>
                </w:p>
              </w:tc>
              <w:tc>
                <w:tcPr>
                  <w:tcW w:w="3155" w:type="dxa"/>
                </w:tcPr>
                <w:p w14:paraId="2FB964FE" w14:textId="25443D7B" w:rsidR="00853C39" w:rsidRDefault="00853C39" w:rsidP="00853C39">
                  <w:pPr>
                    <w:jc w:val="center"/>
                    <w:rPr>
                      <w:rFonts w:ascii="Arial" w:eastAsia="Times New Roman" w:hAnsi="Arial" w:cs="Arial"/>
                      <w:sz w:val="20"/>
                      <w:szCs w:val="20"/>
                      <w:lang w:eastAsia="en-GB"/>
                    </w:rPr>
                  </w:pPr>
                  <w:r>
                    <w:rPr>
                      <w:rFonts w:ascii="Arial" w:eastAsia="Times New Roman" w:hAnsi="Arial" w:cs="Arial"/>
                      <w:sz w:val="20"/>
                      <w:szCs w:val="20"/>
                      <w:lang w:eastAsia="en-GB"/>
                    </w:rPr>
                    <w:t>£33,000</w:t>
                  </w:r>
                  <w:r w:rsidR="00DA2BD8">
                    <w:rPr>
                      <w:rFonts w:ascii="Arial" w:eastAsia="Times New Roman" w:hAnsi="Arial" w:cs="Arial"/>
                      <w:sz w:val="20"/>
                      <w:szCs w:val="20"/>
                      <w:lang w:eastAsia="en-GB"/>
                    </w:rPr>
                    <w:t xml:space="preserve"> / 3.3%</w:t>
                  </w:r>
                </w:p>
              </w:tc>
            </w:tr>
            <w:tr w:rsidR="00853C39" w14:paraId="14977653" w14:textId="77777777" w:rsidTr="00C508B7">
              <w:tc>
                <w:tcPr>
                  <w:tcW w:w="1885" w:type="dxa"/>
                </w:tcPr>
                <w:p w14:paraId="7D23020D" w14:textId="77777777" w:rsidR="00853C39" w:rsidRDefault="00853C39" w:rsidP="00853C39">
                  <w:pPr>
                    <w:jc w:val="center"/>
                    <w:rPr>
                      <w:rFonts w:ascii="Arial" w:eastAsia="Times New Roman" w:hAnsi="Arial" w:cs="Arial"/>
                      <w:sz w:val="20"/>
                      <w:szCs w:val="20"/>
                      <w:lang w:eastAsia="en-GB"/>
                    </w:rPr>
                  </w:pPr>
                  <w:r>
                    <w:rPr>
                      <w:rFonts w:ascii="Arial" w:eastAsia="Times New Roman" w:hAnsi="Arial" w:cs="Arial"/>
                      <w:sz w:val="20"/>
                      <w:szCs w:val="20"/>
                      <w:lang w:eastAsia="en-GB"/>
                    </w:rPr>
                    <w:t>66</w:t>
                  </w:r>
                </w:p>
              </w:tc>
              <w:tc>
                <w:tcPr>
                  <w:tcW w:w="3260" w:type="dxa"/>
                </w:tcPr>
                <w:p w14:paraId="4312A5BB" w14:textId="77777777" w:rsidR="00853C39" w:rsidRDefault="00853C39" w:rsidP="00853C39">
                  <w:pPr>
                    <w:jc w:val="center"/>
                    <w:rPr>
                      <w:rFonts w:ascii="Arial" w:eastAsia="Times New Roman" w:hAnsi="Arial" w:cs="Arial"/>
                      <w:sz w:val="20"/>
                      <w:szCs w:val="20"/>
                      <w:lang w:eastAsia="en-GB"/>
                    </w:rPr>
                  </w:pPr>
                </w:p>
              </w:tc>
              <w:tc>
                <w:tcPr>
                  <w:tcW w:w="3155" w:type="dxa"/>
                </w:tcPr>
                <w:p w14:paraId="3D6CDE43" w14:textId="77777777" w:rsidR="00853C39" w:rsidRDefault="00853C39" w:rsidP="00853C39">
                  <w:pPr>
                    <w:jc w:val="center"/>
                    <w:rPr>
                      <w:rFonts w:ascii="Arial" w:eastAsia="Times New Roman" w:hAnsi="Arial" w:cs="Arial"/>
                      <w:sz w:val="20"/>
                      <w:szCs w:val="20"/>
                      <w:lang w:eastAsia="en-GB"/>
                    </w:rPr>
                  </w:pPr>
                </w:p>
              </w:tc>
            </w:tr>
            <w:tr w:rsidR="00853C39" w14:paraId="38E5AF78" w14:textId="77777777" w:rsidTr="00C508B7">
              <w:tc>
                <w:tcPr>
                  <w:tcW w:w="1885" w:type="dxa"/>
                </w:tcPr>
                <w:p w14:paraId="11A31AA8" w14:textId="10FB7ACE" w:rsidR="00853C39" w:rsidRDefault="00CE3910" w:rsidP="00853C39">
                  <w:pPr>
                    <w:jc w:val="center"/>
                    <w:rPr>
                      <w:rFonts w:ascii="Arial" w:eastAsia="Times New Roman" w:hAnsi="Arial" w:cs="Arial"/>
                      <w:sz w:val="20"/>
                      <w:szCs w:val="20"/>
                      <w:lang w:eastAsia="en-GB"/>
                    </w:rPr>
                  </w:pPr>
                  <w:r>
                    <w:rPr>
                      <w:rFonts w:ascii="Arial" w:eastAsia="Times New Roman" w:hAnsi="Arial" w:cs="Arial"/>
                      <w:sz w:val="20"/>
                      <w:szCs w:val="20"/>
                      <w:lang w:eastAsia="en-GB"/>
                    </w:rPr>
                    <w:t>Etc</w:t>
                  </w:r>
                </w:p>
              </w:tc>
              <w:tc>
                <w:tcPr>
                  <w:tcW w:w="3260" w:type="dxa"/>
                </w:tcPr>
                <w:p w14:paraId="394263F7" w14:textId="77777777" w:rsidR="00853C39" w:rsidRDefault="00853C39" w:rsidP="00853C39">
                  <w:pPr>
                    <w:jc w:val="center"/>
                    <w:rPr>
                      <w:rFonts w:ascii="Arial" w:eastAsia="Times New Roman" w:hAnsi="Arial" w:cs="Arial"/>
                      <w:sz w:val="20"/>
                      <w:szCs w:val="20"/>
                      <w:lang w:eastAsia="en-GB"/>
                    </w:rPr>
                  </w:pPr>
                </w:p>
              </w:tc>
              <w:tc>
                <w:tcPr>
                  <w:tcW w:w="3155" w:type="dxa"/>
                </w:tcPr>
                <w:p w14:paraId="4301D8C4" w14:textId="77777777" w:rsidR="00853C39" w:rsidRDefault="00853C39" w:rsidP="00853C39">
                  <w:pPr>
                    <w:jc w:val="center"/>
                    <w:rPr>
                      <w:rFonts w:ascii="Arial" w:eastAsia="Times New Roman" w:hAnsi="Arial" w:cs="Arial"/>
                      <w:sz w:val="20"/>
                      <w:szCs w:val="20"/>
                      <w:lang w:eastAsia="en-GB"/>
                    </w:rPr>
                  </w:pPr>
                </w:p>
              </w:tc>
            </w:tr>
          </w:tbl>
          <w:p w14:paraId="1C228EF6" w14:textId="77777777" w:rsidR="00853C39" w:rsidRDefault="00853C39" w:rsidP="00AE4034">
            <w:pPr>
              <w:jc w:val="both"/>
              <w:rPr>
                <w:rFonts w:ascii="Arial" w:hAnsi="Arial" w:cs="Arial"/>
                <w:sz w:val="20"/>
                <w:szCs w:val="20"/>
              </w:rPr>
            </w:pPr>
          </w:p>
          <w:p w14:paraId="2EA8FD13" w14:textId="265EC118" w:rsidR="00853C39" w:rsidRPr="00AE4034" w:rsidRDefault="00853C39" w:rsidP="00AE4034">
            <w:pPr>
              <w:jc w:val="both"/>
              <w:rPr>
                <w:rFonts w:ascii="Arial" w:hAnsi="Arial" w:cs="Arial"/>
                <w:sz w:val="20"/>
                <w:szCs w:val="20"/>
              </w:rPr>
            </w:pPr>
          </w:p>
        </w:tc>
      </w:tr>
    </w:tbl>
    <w:p w14:paraId="763D414F" w14:textId="77777777" w:rsidR="00CE3910" w:rsidRDefault="00CE3910" w:rsidP="00671667">
      <w:pPr>
        <w:jc w:val="both"/>
        <w:rPr>
          <w:rFonts w:ascii="Arial" w:eastAsia="Times New Roman" w:hAnsi="Arial" w:cs="Arial"/>
          <w:i/>
          <w:sz w:val="20"/>
          <w:szCs w:val="20"/>
          <w:lang w:eastAsia="en-GB"/>
        </w:rPr>
      </w:pPr>
    </w:p>
    <w:p w14:paraId="25857194" w14:textId="224913AF" w:rsidR="00671667" w:rsidRDefault="00671667" w:rsidP="00671667">
      <w:pPr>
        <w:jc w:val="both"/>
        <w:rPr>
          <w:rFonts w:ascii="Arial" w:eastAsia="Times New Roman" w:hAnsi="Arial" w:cs="Arial"/>
          <w:i/>
          <w:sz w:val="20"/>
          <w:szCs w:val="20"/>
          <w:lang w:eastAsia="en-GB"/>
        </w:rPr>
      </w:pPr>
      <w:r w:rsidRPr="00853C39">
        <w:rPr>
          <w:rFonts w:ascii="Arial" w:eastAsia="Times New Roman" w:hAnsi="Arial" w:cs="Arial"/>
          <w:i/>
          <w:sz w:val="20"/>
          <w:szCs w:val="20"/>
          <w:lang w:eastAsia="en-GB"/>
        </w:rPr>
        <w:t xml:space="preserve">A WPS </w:t>
      </w:r>
      <w:r>
        <w:rPr>
          <w:rFonts w:ascii="Arial" w:eastAsia="Times New Roman" w:hAnsi="Arial" w:cs="Arial"/>
          <w:i/>
          <w:sz w:val="20"/>
          <w:szCs w:val="20"/>
          <w:lang w:eastAsia="en-GB"/>
        </w:rPr>
        <w:t>should be considered in conjunction with the</w:t>
      </w:r>
      <w:r w:rsidRPr="00853C39">
        <w:rPr>
          <w:rFonts w:ascii="Arial" w:eastAsia="Times New Roman" w:hAnsi="Arial" w:cs="Arial"/>
          <w:i/>
          <w:sz w:val="20"/>
          <w:szCs w:val="20"/>
          <w:lang w:eastAsia="en-GB"/>
        </w:rPr>
        <w:t xml:space="preserve"> Investment Policy Statement (IPS) which determines the underlying investment strategy to be adopted to meet the agreed withdrawal strategy.</w:t>
      </w:r>
    </w:p>
    <w:p w14:paraId="6884E775" w14:textId="77777777" w:rsidR="00BB409D" w:rsidRDefault="00BB409D" w:rsidP="00671667">
      <w:pPr>
        <w:jc w:val="both"/>
        <w:rPr>
          <w:rFonts w:ascii="Arial" w:eastAsia="Times New Roman" w:hAnsi="Arial" w:cs="Arial"/>
          <w:i/>
          <w:sz w:val="20"/>
          <w:szCs w:val="20"/>
          <w:lang w:eastAsia="en-GB"/>
        </w:rPr>
      </w:pPr>
    </w:p>
    <w:p w14:paraId="50EA8E61" w14:textId="01D34D4C" w:rsidR="006C1CB0" w:rsidRPr="00BB409D" w:rsidRDefault="006C1CB0" w:rsidP="00BB409D">
      <w:pPr>
        <w:jc w:val="both"/>
        <w:rPr>
          <w:rFonts w:ascii="Arial" w:hAnsi="Arial" w:cs="Arial"/>
          <w:b/>
          <w:sz w:val="20"/>
          <w:szCs w:val="20"/>
        </w:rPr>
      </w:pPr>
      <w:r w:rsidRPr="00BB409D">
        <w:rPr>
          <w:rFonts w:ascii="Arial" w:hAnsi="Arial" w:cs="Arial"/>
          <w:b/>
          <w:sz w:val="20"/>
          <w:szCs w:val="20"/>
        </w:rPr>
        <w:t xml:space="preserve">I acknowledge that I have read and understood this Withdrawal Policy Statement. </w:t>
      </w:r>
      <w:r w:rsidR="00BB409D" w:rsidRPr="00BB409D">
        <w:rPr>
          <w:rFonts w:ascii="Arial" w:hAnsi="Arial" w:cs="Arial"/>
          <w:b/>
          <w:sz w:val="20"/>
          <w:szCs w:val="20"/>
        </w:rPr>
        <w:t>Specifically</w:t>
      </w:r>
      <w:r w:rsidRPr="00BB409D">
        <w:rPr>
          <w:rFonts w:ascii="Arial" w:hAnsi="Arial" w:cs="Arial"/>
          <w:b/>
          <w:sz w:val="20"/>
          <w:szCs w:val="20"/>
        </w:rPr>
        <w:t xml:space="preserve">, I understand there may be </w:t>
      </w:r>
      <w:proofErr w:type="gramStart"/>
      <w:r w:rsidRPr="00BB409D">
        <w:rPr>
          <w:rFonts w:ascii="Arial" w:hAnsi="Arial" w:cs="Arial"/>
          <w:b/>
          <w:sz w:val="20"/>
          <w:szCs w:val="20"/>
        </w:rPr>
        <w:t>some times</w:t>
      </w:r>
      <w:proofErr w:type="gramEnd"/>
      <w:r w:rsidRPr="00BB409D">
        <w:rPr>
          <w:rFonts w:ascii="Arial" w:hAnsi="Arial" w:cs="Arial"/>
          <w:b/>
          <w:sz w:val="20"/>
          <w:szCs w:val="20"/>
        </w:rPr>
        <w:t xml:space="preserve"> I will be advised to freeze or reduce the withdrawal amount to maintain the portfolio’s long-term sustainability.</w:t>
      </w:r>
    </w:p>
    <w:p w14:paraId="285B5575" w14:textId="77777777" w:rsidR="006C1CB0" w:rsidRPr="00D07FAE" w:rsidRDefault="006C1CB0" w:rsidP="00A6441F">
      <w:pPr>
        <w:rPr>
          <w:rFonts w:ascii="Arial" w:hAnsi="Arial" w:cs="Arial"/>
          <w:sz w:val="20"/>
          <w:szCs w:val="20"/>
        </w:rPr>
      </w:pPr>
    </w:p>
    <w:p w14:paraId="6F589692" w14:textId="58F7A0F4" w:rsidR="00A6441F" w:rsidRPr="00D07FAE" w:rsidRDefault="00A6441F" w:rsidP="00A6441F">
      <w:pPr>
        <w:rPr>
          <w:rFonts w:ascii="Arial" w:hAnsi="Arial" w:cs="Arial"/>
          <w:sz w:val="20"/>
          <w:szCs w:val="20"/>
        </w:rPr>
      </w:pPr>
      <w:r w:rsidRPr="00D07FAE">
        <w:rPr>
          <w:rFonts w:ascii="Arial" w:hAnsi="Arial" w:cs="Arial"/>
          <w:sz w:val="20"/>
          <w:szCs w:val="20"/>
        </w:rPr>
        <w:t>Signed: …………………………………………….</w:t>
      </w:r>
    </w:p>
    <w:p w14:paraId="5F76D63C" w14:textId="1966B14F" w:rsidR="002E1587" w:rsidRPr="00220C3C" w:rsidRDefault="00A6441F" w:rsidP="00220C3C">
      <w:pPr>
        <w:rPr>
          <w:rFonts w:ascii="Arial" w:hAnsi="Arial" w:cs="Arial"/>
          <w:sz w:val="20"/>
          <w:szCs w:val="20"/>
        </w:rPr>
      </w:pPr>
      <w:r w:rsidRPr="00D07FAE">
        <w:rPr>
          <w:rFonts w:ascii="Arial" w:hAnsi="Arial" w:cs="Arial"/>
          <w:sz w:val="20"/>
          <w:szCs w:val="20"/>
        </w:rPr>
        <w:tab/>
      </w:r>
      <w:r w:rsidR="00581CAF">
        <w:rPr>
          <w:rFonts w:ascii="Arial" w:hAnsi="Arial" w:cs="Arial"/>
          <w:sz w:val="20"/>
          <w:szCs w:val="20"/>
        </w:rPr>
        <w:t xml:space="preserve"> </w:t>
      </w:r>
      <w:r w:rsidR="00853C39">
        <w:rPr>
          <w:rFonts w:ascii="Arial" w:hAnsi="Arial" w:cs="Arial"/>
          <w:sz w:val="20"/>
          <w:szCs w:val="20"/>
        </w:rPr>
        <w:t>John Doe</w:t>
      </w:r>
    </w:p>
    <w:p w14:paraId="064AF0A8" w14:textId="77777777" w:rsidR="00BB409D" w:rsidRDefault="00BB409D">
      <w:pPr>
        <w:rPr>
          <w:rFonts w:ascii="Arial" w:eastAsia="Times New Roman" w:hAnsi="Arial" w:cs="Arial"/>
          <w:b/>
          <w:sz w:val="24"/>
          <w:szCs w:val="20"/>
          <w:lang w:eastAsia="en-GB"/>
        </w:rPr>
      </w:pPr>
    </w:p>
    <w:p w14:paraId="03FF11A3" w14:textId="25247A90" w:rsidR="00BB409D" w:rsidRPr="00D07FAE" w:rsidRDefault="00BB409D" w:rsidP="00BB409D">
      <w:pPr>
        <w:rPr>
          <w:rFonts w:ascii="Arial" w:hAnsi="Arial" w:cs="Arial"/>
          <w:sz w:val="20"/>
          <w:szCs w:val="20"/>
        </w:rPr>
      </w:pPr>
      <w:r w:rsidRPr="00D07FAE">
        <w:rPr>
          <w:rFonts w:ascii="Arial" w:hAnsi="Arial" w:cs="Arial"/>
          <w:sz w:val="20"/>
          <w:szCs w:val="20"/>
        </w:rPr>
        <w:t>Signed: …………………………………………….</w:t>
      </w:r>
    </w:p>
    <w:p w14:paraId="6B543AF5" w14:textId="4AFEFF73" w:rsidR="00BB409D" w:rsidRPr="00220C3C" w:rsidRDefault="00BB409D" w:rsidP="00BB409D">
      <w:pPr>
        <w:rPr>
          <w:rFonts w:ascii="Arial" w:hAnsi="Arial" w:cs="Arial"/>
          <w:sz w:val="20"/>
          <w:szCs w:val="20"/>
        </w:rPr>
      </w:pPr>
      <w:r w:rsidRPr="00D07FAE">
        <w:rPr>
          <w:rFonts w:ascii="Arial" w:hAnsi="Arial" w:cs="Arial"/>
          <w:sz w:val="20"/>
          <w:szCs w:val="20"/>
        </w:rPr>
        <w:tab/>
      </w:r>
      <w:r>
        <w:rPr>
          <w:rFonts w:ascii="Arial" w:hAnsi="Arial" w:cs="Arial"/>
          <w:sz w:val="20"/>
          <w:szCs w:val="20"/>
        </w:rPr>
        <w:t xml:space="preserve"> Jane Doe</w:t>
      </w:r>
    </w:p>
    <w:p w14:paraId="020F3E10" w14:textId="0EBB0731" w:rsidR="00BB409D" w:rsidRDefault="00BB409D" w:rsidP="00702150">
      <w:pPr>
        <w:rPr>
          <w:rFonts w:ascii="Arial" w:hAnsi="Arial" w:cs="Arial"/>
          <w:i/>
          <w:sz w:val="20"/>
          <w:szCs w:val="20"/>
        </w:rPr>
      </w:pPr>
      <w:r w:rsidRPr="00D07FAE">
        <w:rPr>
          <w:rFonts w:ascii="Arial" w:hAnsi="Arial" w:cs="Arial"/>
          <w:sz w:val="20"/>
          <w:szCs w:val="20"/>
        </w:rPr>
        <w:t>Date: …………………………………………….</w:t>
      </w:r>
      <w:r w:rsidRPr="00D07FAE">
        <w:rPr>
          <w:rFonts w:ascii="Arial" w:hAnsi="Arial" w:cs="Arial"/>
          <w:sz w:val="20"/>
          <w:szCs w:val="20"/>
        </w:rPr>
        <w:tab/>
      </w:r>
    </w:p>
    <w:p w14:paraId="4F74BB22" w14:textId="77777777" w:rsidR="00BB409D" w:rsidRDefault="00BB409D" w:rsidP="00BB409D">
      <w:pPr>
        <w:jc w:val="right"/>
        <w:rPr>
          <w:rFonts w:ascii="Arial" w:hAnsi="Arial" w:cs="Arial"/>
          <w:i/>
          <w:sz w:val="20"/>
          <w:szCs w:val="20"/>
        </w:rPr>
      </w:pPr>
    </w:p>
    <w:p w14:paraId="2FEA6A18" w14:textId="77777777" w:rsidR="00BB409D" w:rsidRDefault="00BB409D" w:rsidP="00BB409D">
      <w:pPr>
        <w:jc w:val="right"/>
        <w:rPr>
          <w:rFonts w:ascii="Arial" w:hAnsi="Arial" w:cs="Arial"/>
          <w:i/>
          <w:sz w:val="20"/>
          <w:szCs w:val="20"/>
        </w:rPr>
      </w:pPr>
    </w:p>
    <w:p w14:paraId="181C7CD4" w14:textId="4C3BDF18" w:rsidR="00BB409D" w:rsidRDefault="00BB409D" w:rsidP="00BB409D">
      <w:pPr>
        <w:jc w:val="right"/>
        <w:rPr>
          <w:rFonts w:ascii="Arial" w:eastAsia="Times New Roman" w:hAnsi="Arial" w:cs="Arial"/>
          <w:b/>
          <w:sz w:val="24"/>
          <w:szCs w:val="20"/>
          <w:lang w:eastAsia="en-GB"/>
        </w:rPr>
      </w:pPr>
      <w:r w:rsidRPr="00D07FAE">
        <w:rPr>
          <w:rFonts w:ascii="Arial" w:hAnsi="Arial" w:cs="Arial"/>
          <w:i/>
          <w:sz w:val="20"/>
          <w:szCs w:val="20"/>
        </w:rPr>
        <w:t>See over for Change Log.</w:t>
      </w:r>
    </w:p>
    <w:p w14:paraId="0C63E7B5" w14:textId="4EF4F468" w:rsidR="00CC69B2" w:rsidRPr="00581CAF" w:rsidRDefault="00BB409D" w:rsidP="00BB409D">
      <w:pPr>
        <w:jc w:val="center"/>
        <w:rPr>
          <w:rFonts w:ascii="Arial" w:eastAsia="Times New Roman" w:hAnsi="Arial" w:cs="Arial"/>
          <w:b/>
          <w:sz w:val="24"/>
          <w:szCs w:val="20"/>
          <w:lang w:eastAsia="en-GB"/>
        </w:rPr>
      </w:pPr>
      <w:r>
        <w:rPr>
          <w:rFonts w:ascii="Arial" w:eastAsia="Times New Roman" w:hAnsi="Arial" w:cs="Arial"/>
          <w:b/>
          <w:sz w:val="24"/>
          <w:szCs w:val="20"/>
          <w:lang w:eastAsia="en-GB"/>
        </w:rPr>
        <w:br w:type="page"/>
      </w:r>
      <w:r w:rsidR="00CE3910">
        <w:rPr>
          <w:rFonts w:ascii="Arial" w:eastAsia="Times New Roman" w:hAnsi="Arial" w:cs="Arial"/>
          <w:b/>
          <w:sz w:val="24"/>
          <w:szCs w:val="20"/>
          <w:lang w:eastAsia="en-GB"/>
        </w:rPr>
        <w:lastRenderedPageBreak/>
        <w:t>Withdrawal</w:t>
      </w:r>
      <w:r w:rsidR="00CC69B2" w:rsidRPr="00581CAF">
        <w:rPr>
          <w:rFonts w:ascii="Arial" w:eastAsia="Times New Roman" w:hAnsi="Arial" w:cs="Arial"/>
          <w:b/>
          <w:sz w:val="24"/>
          <w:szCs w:val="20"/>
          <w:lang w:eastAsia="en-GB"/>
        </w:rPr>
        <w:t xml:space="preserve"> Policy Statement</w:t>
      </w:r>
    </w:p>
    <w:p w14:paraId="6FBCBA7B" w14:textId="77777777" w:rsidR="00CC69B2" w:rsidRPr="00D07FAE" w:rsidRDefault="00CC69B2" w:rsidP="00CC69B2">
      <w:pPr>
        <w:jc w:val="center"/>
        <w:rPr>
          <w:rFonts w:ascii="Arial" w:eastAsia="Times New Roman" w:hAnsi="Arial" w:cs="Arial"/>
          <w:b/>
          <w:sz w:val="20"/>
          <w:szCs w:val="20"/>
          <w:lang w:eastAsia="en-GB"/>
        </w:rPr>
      </w:pPr>
      <w:r w:rsidRPr="00D07FAE">
        <w:rPr>
          <w:rFonts w:ascii="Arial" w:eastAsia="Times New Roman" w:hAnsi="Arial" w:cs="Arial"/>
          <w:b/>
          <w:sz w:val="20"/>
          <w:szCs w:val="20"/>
          <w:lang w:eastAsia="en-GB"/>
        </w:rPr>
        <w:t>Change Log</w:t>
      </w:r>
    </w:p>
    <w:p w14:paraId="364AF593" w14:textId="77777777" w:rsidR="00CC69B2" w:rsidRPr="00D07FAE" w:rsidRDefault="00CC69B2" w:rsidP="00CC69B2">
      <w:pPr>
        <w:rPr>
          <w:rFonts w:ascii="Arial" w:eastAsia="Times New Roman" w:hAnsi="Arial" w:cs="Arial"/>
          <w:sz w:val="20"/>
          <w:szCs w:val="20"/>
          <w:lang w:eastAsia="en-GB"/>
        </w:rPr>
      </w:pPr>
      <w:r w:rsidRPr="00D07FAE">
        <w:rPr>
          <w:rFonts w:ascii="Arial" w:eastAsia="Times New Roman" w:hAnsi="Arial" w:cs="Arial"/>
          <w:sz w:val="20"/>
          <w:szCs w:val="20"/>
          <w:lang w:eastAsia="en-GB"/>
        </w:rPr>
        <w:t>The below shall be used to record any changes made to the original Investor Policy Statement so that a full audit trail can be maintained and to help focus on long-term goals.</w:t>
      </w:r>
    </w:p>
    <w:tbl>
      <w:tblPr>
        <w:tblStyle w:val="TableGrid"/>
        <w:tblW w:w="10485" w:type="dxa"/>
        <w:tblLook w:val="04A0" w:firstRow="1" w:lastRow="0" w:firstColumn="1" w:lastColumn="0" w:noHBand="0" w:noVBand="1"/>
      </w:tblPr>
      <w:tblGrid>
        <w:gridCol w:w="2972"/>
        <w:gridCol w:w="7513"/>
      </w:tblGrid>
      <w:tr w:rsidR="00910976" w:rsidRPr="00D07FAE" w14:paraId="0DF2140C" w14:textId="77777777" w:rsidTr="00C1159F">
        <w:tc>
          <w:tcPr>
            <w:tcW w:w="2972" w:type="dxa"/>
          </w:tcPr>
          <w:p w14:paraId="74BBC9A9" w14:textId="77777777" w:rsidR="00910976" w:rsidRPr="00D07FAE" w:rsidRDefault="00CC69B2" w:rsidP="00C1159F">
            <w:pPr>
              <w:rPr>
                <w:rFonts w:ascii="Arial" w:hAnsi="Arial" w:cs="Arial"/>
                <w:b/>
                <w:sz w:val="20"/>
                <w:szCs w:val="20"/>
              </w:rPr>
            </w:pPr>
            <w:r w:rsidRPr="00D07FAE">
              <w:rPr>
                <w:rFonts w:ascii="Arial" w:hAnsi="Arial" w:cs="Arial"/>
                <w:b/>
                <w:sz w:val="20"/>
                <w:szCs w:val="20"/>
              </w:rPr>
              <w:t>Date</w:t>
            </w:r>
          </w:p>
        </w:tc>
        <w:tc>
          <w:tcPr>
            <w:tcW w:w="7513" w:type="dxa"/>
          </w:tcPr>
          <w:p w14:paraId="6334609D" w14:textId="77777777" w:rsidR="00910976" w:rsidRPr="00D07FAE" w:rsidRDefault="00CC69B2" w:rsidP="00C1159F">
            <w:pPr>
              <w:rPr>
                <w:rFonts w:ascii="Arial" w:hAnsi="Arial" w:cs="Arial"/>
                <w:b/>
                <w:sz w:val="20"/>
                <w:szCs w:val="20"/>
              </w:rPr>
            </w:pPr>
            <w:r w:rsidRPr="00D07FAE">
              <w:rPr>
                <w:rFonts w:ascii="Arial" w:hAnsi="Arial" w:cs="Arial"/>
                <w:b/>
                <w:sz w:val="20"/>
                <w:szCs w:val="20"/>
              </w:rPr>
              <w:t xml:space="preserve">Changes made </w:t>
            </w:r>
            <w:r w:rsidRPr="00D07FAE">
              <w:rPr>
                <w:rFonts w:ascii="Arial" w:hAnsi="Arial" w:cs="Arial"/>
                <w:b/>
                <w:i/>
                <w:sz w:val="20"/>
                <w:szCs w:val="20"/>
              </w:rPr>
              <w:t>(what, why etc)</w:t>
            </w:r>
          </w:p>
          <w:p w14:paraId="6B6B4990" w14:textId="77777777" w:rsidR="00910976" w:rsidRPr="00D07FAE" w:rsidRDefault="00910976" w:rsidP="00C1159F">
            <w:pPr>
              <w:rPr>
                <w:rFonts w:ascii="Arial" w:hAnsi="Arial" w:cs="Arial"/>
                <w:sz w:val="20"/>
                <w:szCs w:val="20"/>
              </w:rPr>
            </w:pPr>
          </w:p>
        </w:tc>
      </w:tr>
      <w:tr w:rsidR="00581CAF" w:rsidRPr="00D07FAE" w14:paraId="550B1EC6" w14:textId="77777777" w:rsidTr="00F6112E">
        <w:tc>
          <w:tcPr>
            <w:tcW w:w="2972" w:type="dxa"/>
          </w:tcPr>
          <w:p w14:paraId="1AF7D838" w14:textId="77777777" w:rsidR="00581CAF" w:rsidRPr="00D07FAE" w:rsidRDefault="00581CAF" w:rsidP="00F6112E">
            <w:pPr>
              <w:rPr>
                <w:rFonts w:ascii="Arial" w:hAnsi="Arial" w:cs="Arial"/>
                <w:b/>
                <w:sz w:val="20"/>
                <w:szCs w:val="20"/>
              </w:rPr>
            </w:pPr>
          </w:p>
          <w:p w14:paraId="312E973D" w14:textId="77777777" w:rsidR="00581CAF" w:rsidRPr="00D07FAE" w:rsidRDefault="00581CAF" w:rsidP="00F6112E">
            <w:pPr>
              <w:rPr>
                <w:rFonts w:ascii="Arial" w:hAnsi="Arial" w:cs="Arial"/>
                <w:b/>
                <w:sz w:val="20"/>
                <w:szCs w:val="20"/>
              </w:rPr>
            </w:pPr>
          </w:p>
          <w:p w14:paraId="636CD028" w14:textId="77777777" w:rsidR="00581CAF" w:rsidRPr="00D07FAE" w:rsidRDefault="00581CAF" w:rsidP="00F6112E">
            <w:pPr>
              <w:rPr>
                <w:rFonts w:ascii="Arial" w:hAnsi="Arial" w:cs="Arial"/>
                <w:b/>
                <w:sz w:val="20"/>
                <w:szCs w:val="20"/>
              </w:rPr>
            </w:pPr>
          </w:p>
        </w:tc>
        <w:tc>
          <w:tcPr>
            <w:tcW w:w="7513" w:type="dxa"/>
          </w:tcPr>
          <w:p w14:paraId="607A75EE" w14:textId="77777777" w:rsidR="00581CAF" w:rsidRPr="00D07FAE" w:rsidRDefault="00581CAF" w:rsidP="00F6112E">
            <w:pPr>
              <w:rPr>
                <w:rFonts w:ascii="Arial" w:hAnsi="Arial" w:cs="Arial"/>
                <w:sz w:val="20"/>
                <w:szCs w:val="20"/>
              </w:rPr>
            </w:pPr>
          </w:p>
        </w:tc>
      </w:tr>
      <w:tr w:rsidR="00581CAF" w:rsidRPr="00D07FAE" w14:paraId="7F9B458D" w14:textId="77777777" w:rsidTr="00F6112E">
        <w:tc>
          <w:tcPr>
            <w:tcW w:w="2972" w:type="dxa"/>
          </w:tcPr>
          <w:p w14:paraId="26A880AD" w14:textId="77777777" w:rsidR="00581CAF" w:rsidRPr="00D07FAE" w:rsidRDefault="00581CAF" w:rsidP="00F6112E">
            <w:pPr>
              <w:rPr>
                <w:rFonts w:ascii="Arial" w:hAnsi="Arial" w:cs="Arial"/>
                <w:b/>
                <w:sz w:val="20"/>
                <w:szCs w:val="20"/>
              </w:rPr>
            </w:pPr>
          </w:p>
          <w:p w14:paraId="295D3228" w14:textId="77777777" w:rsidR="00581CAF" w:rsidRPr="00D07FAE" w:rsidRDefault="00581CAF" w:rsidP="00F6112E">
            <w:pPr>
              <w:rPr>
                <w:rFonts w:ascii="Arial" w:hAnsi="Arial" w:cs="Arial"/>
                <w:b/>
                <w:sz w:val="20"/>
                <w:szCs w:val="20"/>
              </w:rPr>
            </w:pPr>
          </w:p>
          <w:p w14:paraId="775A030B" w14:textId="77777777" w:rsidR="00581CAF" w:rsidRPr="00D07FAE" w:rsidRDefault="00581CAF" w:rsidP="00F6112E">
            <w:pPr>
              <w:rPr>
                <w:rFonts w:ascii="Arial" w:hAnsi="Arial" w:cs="Arial"/>
                <w:b/>
                <w:sz w:val="20"/>
                <w:szCs w:val="20"/>
              </w:rPr>
            </w:pPr>
          </w:p>
        </w:tc>
        <w:tc>
          <w:tcPr>
            <w:tcW w:w="7513" w:type="dxa"/>
          </w:tcPr>
          <w:p w14:paraId="5333A705" w14:textId="77777777" w:rsidR="00581CAF" w:rsidRPr="00D07FAE" w:rsidRDefault="00581CAF" w:rsidP="00F6112E">
            <w:pPr>
              <w:rPr>
                <w:rFonts w:ascii="Arial" w:hAnsi="Arial" w:cs="Arial"/>
                <w:sz w:val="20"/>
                <w:szCs w:val="20"/>
              </w:rPr>
            </w:pPr>
          </w:p>
        </w:tc>
      </w:tr>
      <w:tr w:rsidR="00581CAF" w:rsidRPr="00D07FAE" w14:paraId="478C201E" w14:textId="77777777" w:rsidTr="00F6112E">
        <w:tc>
          <w:tcPr>
            <w:tcW w:w="2972" w:type="dxa"/>
          </w:tcPr>
          <w:p w14:paraId="02C83128" w14:textId="77777777" w:rsidR="00581CAF" w:rsidRPr="00D07FAE" w:rsidRDefault="00581CAF" w:rsidP="00F6112E">
            <w:pPr>
              <w:rPr>
                <w:rFonts w:ascii="Arial" w:hAnsi="Arial" w:cs="Arial"/>
                <w:b/>
                <w:sz w:val="20"/>
                <w:szCs w:val="20"/>
              </w:rPr>
            </w:pPr>
          </w:p>
          <w:p w14:paraId="5512739E" w14:textId="77777777" w:rsidR="00581CAF" w:rsidRPr="00D07FAE" w:rsidRDefault="00581CAF" w:rsidP="00F6112E">
            <w:pPr>
              <w:rPr>
                <w:rFonts w:ascii="Arial" w:hAnsi="Arial" w:cs="Arial"/>
                <w:b/>
                <w:sz w:val="20"/>
                <w:szCs w:val="20"/>
              </w:rPr>
            </w:pPr>
          </w:p>
          <w:p w14:paraId="3FEA550F" w14:textId="77777777" w:rsidR="00581CAF" w:rsidRPr="00D07FAE" w:rsidRDefault="00581CAF" w:rsidP="00F6112E">
            <w:pPr>
              <w:rPr>
                <w:rFonts w:ascii="Arial" w:hAnsi="Arial" w:cs="Arial"/>
                <w:b/>
                <w:sz w:val="20"/>
                <w:szCs w:val="20"/>
              </w:rPr>
            </w:pPr>
          </w:p>
        </w:tc>
        <w:tc>
          <w:tcPr>
            <w:tcW w:w="7513" w:type="dxa"/>
          </w:tcPr>
          <w:p w14:paraId="1BCDF712" w14:textId="77777777" w:rsidR="00581CAF" w:rsidRPr="00D07FAE" w:rsidRDefault="00581CAF" w:rsidP="00F6112E">
            <w:pPr>
              <w:rPr>
                <w:rFonts w:ascii="Arial" w:hAnsi="Arial" w:cs="Arial"/>
                <w:sz w:val="20"/>
                <w:szCs w:val="20"/>
              </w:rPr>
            </w:pPr>
          </w:p>
        </w:tc>
      </w:tr>
      <w:tr w:rsidR="00CC69B2" w:rsidRPr="00D07FAE" w14:paraId="124269D6" w14:textId="77777777" w:rsidTr="00C1159F">
        <w:tc>
          <w:tcPr>
            <w:tcW w:w="2972" w:type="dxa"/>
          </w:tcPr>
          <w:p w14:paraId="65B8E9AD" w14:textId="77777777" w:rsidR="00CC69B2" w:rsidRPr="00D07FAE" w:rsidRDefault="00CC69B2" w:rsidP="00CC69B2">
            <w:pPr>
              <w:rPr>
                <w:rFonts w:ascii="Arial" w:hAnsi="Arial" w:cs="Arial"/>
                <w:b/>
                <w:sz w:val="20"/>
                <w:szCs w:val="20"/>
              </w:rPr>
            </w:pPr>
          </w:p>
          <w:p w14:paraId="01E97655" w14:textId="77777777" w:rsidR="00CC69B2" w:rsidRPr="00D07FAE" w:rsidRDefault="00CC69B2" w:rsidP="00CC69B2">
            <w:pPr>
              <w:rPr>
                <w:rFonts w:ascii="Arial" w:hAnsi="Arial" w:cs="Arial"/>
                <w:b/>
                <w:sz w:val="20"/>
                <w:szCs w:val="20"/>
              </w:rPr>
            </w:pPr>
          </w:p>
          <w:p w14:paraId="746D3E3E" w14:textId="77777777" w:rsidR="00CC69B2" w:rsidRPr="00D07FAE" w:rsidRDefault="00CC69B2" w:rsidP="00CC69B2">
            <w:pPr>
              <w:rPr>
                <w:rFonts w:ascii="Arial" w:hAnsi="Arial" w:cs="Arial"/>
                <w:b/>
                <w:sz w:val="20"/>
                <w:szCs w:val="20"/>
              </w:rPr>
            </w:pPr>
          </w:p>
        </w:tc>
        <w:tc>
          <w:tcPr>
            <w:tcW w:w="7513" w:type="dxa"/>
          </w:tcPr>
          <w:p w14:paraId="1DF9C68A" w14:textId="77777777" w:rsidR="00CC69B2" w:rsidRPr="00D07FAE" w:rsidRDefault="00CC69B2" w:rsidP="00C1159F">
            <w:pPr>
              <w:rPr>
                <w:rFonts w:ascii="Arial" w:hAnsi="Arial" w:cs="Arial"/>
                <w:sz w:val="20"/>
                <w:szCs w:val="20"/>
              </w:rPr>
            </w:pPr>
          </w:p>
        </w:tc>
      </w:tr>
      <w:tr w:rsidR="00CC69B2" w:rsidRPr="00D07FAE" w14:paraId="2B0DB1C2" w14:textId="77777777" w:rsidTr="00C1159F">
        <w:tc>
          <w:tcPr>
            <w:tcW w:w="2972" w:type="dxa"/>
          </w:tcPr>
          <w:p w14:paraId="18E2F815" w14:textId="77777777" w:rsidR="00CC69B2" w:rsidRPr="00D07FAE" w:rsidRDefault="00CC69B2" w:rsidP="00C1159F">
            <w:pPr>
              <w:rPr>
                <w:rFonts w:ascii="Arial" w:hAnsi="Arial" w:cs="Arial"/>
                <w:b/>
                <w:sz w:val="20"/>
                <w:szCs w:val="20"/>
              </w:rPr>
            </w:pPr>
          </w:p>
          <w:p w14:paraId="56540017" w14:textId="77777777" w:rsidR="00CC69B2" w:rsidRPr="00D07FAE" w:rsidRDefault="00CC69B2" w:rsidP="00C1159F">
            <w:pPr>
              <w:rPr>
                <w:rFonts w:ascii="Arial" w:hAnsi="Arial" w:cs="Arial"/>
                <w:b/>
                <w:sz w:val="20"/>
                <w:szCs w:val="20"/>
              </w:rPr>
            </w:pPr>
          </w:p>
          <w:p w14:paraId="6F94509D" w14:textId="77777777" w:rsidR="00CC69B2" w:rsidRPr="00D07FAE" w:rsidRDefault="00CC69B2" w:rsidP="00C1159F">
            <w:pPr>
              <w:rPr>
                <w:rFonts w:ascii="Arial" w:hAnsi="Arial" w:cs="Arial"/>
                <w:b/>
                <w:sz w:val="20"/>
                <w:szCs w:val="20"/>
              </w:rPr>
            </w:pPr>
          </w:p>
        </w:tc>
        <w:tc>
          <w:tcPr>
            <w:tcW w:w="7513" w:type="dxa"/>
          </w:tcPr>
          <w:p w14:paraId="27E58435" w14:textId="77777777" w:rsidR="00CC69B2" w:rsidRPr="00D07FAE" w:rsidRDefault="00CC69B2" w:rsidP="00C1159F">
            <w:pPr>
              <w:rPr>
                <w:rFonts w:ascii="Arial" w:hAnsi="Arial" w:cs="Arial"/>
                <w:sz w:val="20"/>
                <w:szCs w:val="20"/>
              </w:rPr>
            </w:pPr>
          </w:p>
        </w:tc>
      </w:tr>
      <w:tr w:rsidR="00CC69B2" w:rsidRPr="00D07FAE" w14:paraId="74A0F8E0" w14:textId="77777777" w:rsidTr="00C1159F">
        <w:tc>
          <w:tcPr>
            <w:tcW w:w="2972" w:type="dxa"/>
          </w:tcPr>
          <w:p w14:paraId="47692469" w14:textId="77777777" w:rsidR="00CC69B2" w:rsidRPr="00D07FAE" w:rsidRDefault="00CC69B2" w:rsidP="00C1159F">
            <w:pPr>
              <w:rPr>
                <w:rFonts w:ascii="Arial" w:hAnsi="Arial" w:cs="Arial"/>
                <w:b/>
                <w:sz w:val="20"/>
                <w:szCs w:val="20"/>
              </w:rPr>
            </w:pPr>
          </w:p>
          <w:p w14:paraId="27A6AE2E" w14:textId="77777777" w:rsidR="00CC69B2" w:rsidRPr="00D07FAE" w:rsidRDefault="00CC69B2" w:rsidP="00C1159F">
            <w:pPr>
              <w:rPr>
                <w:rFonts w:ascii="Arial" w:hAnsi="Arial" w:cs="Arial"/>
                <w:b/>
                <w:sz w:val="20"/>
                <w:szCs w:val="20"/>
              </w:rPr>
            </w:pPr>
          </w:p>
          <w:p w14:paraId="4074F2FA" w14:textId="77777777" w:rsidR="00CC69B2" w:rsidRPr="00D07FAE" w:rsidRDefault="00CC69B2" w:rsidP="00C1159F">
            <w:pPr>
              <w:rPr>
                <w:rFonts w:ascii="Arial" w:hAnsi="Arial" w:cs="Arial"/>
                <w:b/>
                <w:sz w:val="20"/>
                <w:szCs w:val="20"/>
              </w:rPr>
            </w:pPr>
          </w:p>
        </w:tc>
        <w:tc>
          <w:tcPr>
            <w:tcW w:w="7513" w:type="dxa"/>
          </w:tcPr>
          <w:p w14:paraId="619A399C" w14:textId="77777777" w:rsidR="00CC69B2" w:rsidRPr="00D07FAE" w:rsidRDefault="00CC69B2" w:rsidP="00C1159F">
            <w:pPr>
              <w:rPr>
                <w:rFonts w:ascii="Arial" w:hAnsi="Arial" w:cs="Arial"/>
                <w:sz w:val="20"/>
                <w:szCs w:val="20"/>
              </w:rPr>
            </w:pPr>
          </w:p>
        </w:tc>
      </w:tr>
    </w:tbl>
    <w:p w14:paraId="5E789618" w14:textId="77777777" w:rsidR="00FB2A09" w:rsidRPr="00D07FAE" w:rsidRDefault="00FB2A09">
      <w:pPr>
        <w:rPr>
          <w:rFonts w:ascii="Arial" w:hAnsi="Arial" w:cs="Arial"/>
          <w:sz w:val="20"/>
          <w:szCs w:val="20"/>
        </w:rPr>
      </w:pPr>
    </w:p>
    <w:p w14:paraId="4688FEC6" w14:textId="72D6C2C9" w:rsidR="00FB2A09" w:rsidRPr="00D07FAE" w:rsidRDefault="00FB2A09">
      <w:pPr>
        <w:rPr>
          <w:rFonts w:ascii="Arial" w:hAnsi="Arial" w:cs="Arial"/>
          <w:sz w:val="20"/>
          <w:szCs w:val="20"/>
        </w:rPr>
      </w:pPr>
    </w:p>
    <w:sectPr w:rsidR="00FB2A09" w:rsidRPr="00D07FAE" w:rsidSect="003763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7936" w14:textId="77777777" w:rsidR="00667AD4" w:rsidRDefault="00667AD4" w:rsidP="00BC6FB3">
      <w:pPr>
        <w:spacing w:after="0" w:line="240" w:lineRule="auto"/>
      </w:pPr>
      <w:r>
        <w:separator/>
      </w:r>
    </w:p>
  </w:endnote>
  <w:endnote w:type="continuationSeparator" w:id="0">
    <w:p w14:paraId="4CB86EE6" w14:textId="77777777" w:rsidR="00667AD4" w:rsidRDefault="00667AD4" w:rsidP="00BC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F2AA" w14:textId="77777777" w:rsidR="00667AD4" w:rsidRDefault="00667AD4" w:rsidP="00BC6FB3">
      <w:pPr>
        <w:spacing w:after="0" w:line="240" w:lineRule="auto"/>
      </w:pPr>
      <w:r>
        <w:separator/>
      </w:r>
    </w:p>
  </w:footnote>
  <w:footnote w:type="continuationSeparator" w:id="0">
    <w:p w14:paraId="4565E738" w14:textId="77777777" w:rsidR="00667AD4" w:rsidRDefault="00667AD4" w:rsidP="00BC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FC0"/>
    <w:multiLevelType w:val="hybridMultilevel"/>
    <w:tmpl w:val="9924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261E"/>
    <w:multiLevelType w:val="hybridMultilevel"/>
    <w:tmpl w:val="2E98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371B"/>
    <w:multiLevelType w:val="hybridMultilevel"/>
    <w:tmpl w:val="833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A2663"/>
    <w:multiLevelType w:val="hybridMultilevel"/>
    <w:tmpl w:val="955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95DB0"/>
    <w:multiLevelType w:val="hybridMultilevel"/>
    <w:tmpl w:val="A7A02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45CCB"/>
    <w:multiLevelType w:val="hybridMultilevel"/>
    <w:tmpl w:val="6756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BFF"/>
    <w:multiLevelType w:val="hybridMultilevel"/>
    <w:tmpl w:val="09B6F052"/>
    <w:lvl w:ilvl="0" w:tplc="F8D6F17E">
      <w:start w:val="4"/>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30381380"/>
    <w:multiLevelType w:val="hybridMultilevel"/>
    <w:tmpl w:val="682CD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C09F5"/>
    <w:multiLevelType w:val="hybridMultilevel"/>
    <w:tmpl w:val="5E125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0A4C2A"/>
    <w:multiLevelType w:val="hybridMultilevel"/>
    <w:tmpl w:val="0B3E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224E4B"/>
    <w:multiLevelType w:val="hybridMultilevel"/>
    <w:tmpl w:val="9856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630C8D"/>
    <w:multiLevelType w:val="multilevel"/>
    <w:tmpl w:val="411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05383"/>
    <w:multiLevelType w:val="hybridMultilevel"/>
    <w:tmpl w:val="0D90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1D6FEC"/>
    <w:multiLevelType w:val="hybridMultilevel"/>
    <w:tmpl w:val="DCE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06B7D"/>
    <w:multiLevelType w:val="multilevel"/>
    <w:tmpl w:val="EF1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11D3C"/>
    <w:multiLevelType w:val="multilevel"/>
    <w:tmpl w:val="88A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3564B"/>
    <w:multiLevelType w:val="hybridMultilevel"/>
    <w:tmpl w:val="84401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E45BD"/>
    <w:multiLevelType w:val="hybridMultilevel"/>
    <w:tmpl w:val="5AB6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3B6AE0"/>
    <w:multiLevelType w:val="hybridMultilevel"/>
    <w:tmpl w:val="BBAE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5"/>
  </w:num>
  <w:num w:numId="4">
    <w:abstractNumId w:val="9"/>
  </w:num>
  <w:num w:numId="5">
    <w:abstractNumId w:val="10"/>
  </w:num>
  <w:num w:numId="6">
    <w:abstractNumId w:val="4"/>
  </w:num>
  <w:num w:numId="7">
    <w:abstractNumId w:val="12"/>
  </w:num>
  <w:num w:numId="8">
    <w:abstractNumId w:val="7"/>
  </w:num>
  <w:num w:numId="9">
    <w:abstractNumId w:val="13"/>
  </w:num>
  <w:num w:numId="10">
    <w:abstractNumId w:val="5"/>
  </w:num>
  <w:num w:numId="11">
    <w:abstractNumId w:val="1"/>
  </w:num>
  <w:num w:numId="12">
    <w:abstractNumId w:val="17"/>
  </w:num>
  <w:num w:numId="13">
    <w:abstractNumId w:val="3"/>
  </w:num>
  <w:num w:numId="14">
    <w:abstractNumId w:val="8"/>
  </w:num>
  <w:num w:numId="15">
    <w:abstractNumId w:val="18"/>
  </w:num>
  <w:num w:numId="16">
    <w:abstractNumId w:val="16"/>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42"/>
    <w:rsid w:val="0002617E"/>
    <w:rsid w:val="000448DE"/>
    <w:rsid w:val="0004770D"/>
    <w:rsid w:val="00053933"/>
    <w:rsid w:val="0007264E"/>
    <w:rsid w:val="00082296"/>
    <w:rsid w:val="00095FF1"/>
    <w:rsid w:val="000C07CD"/>
    <w:rsid w:val="000D4134"/>
    <w:rsid w:val="00104E2A"/>
    <w:rsid w:val="001218B6"/>
    <w:rsid w:val="00184F3E"/>
    <w:rsid w:val="001B7669"/>
    <w:rsid w:val="001F18D6"/>
    <w:rsid w:val="00213515"/>
    <w:rsid w:val="00220C3C"/>
    <w:rsid w:val="00241F81"/>
    <w:rsid w:val="002515BD"/>
    <w:rsid w:val="00266A9E"/>
    <w:rsid w:val="002754E3"/>
    <w:rsid w:val="002860C6"/>
    <w:rsid w:val="00286FFC"/>
    <w:rsid w:val="00296012"/>
    <w:rsid w:val="002A3C10"/>
    <w:rsid w:val="002D1930"/>
    <w:rsid w:val="002D7BDC"/>
    <w:rsid w:val="002E1587"/>
    <w:rsid w:val="00316AE2"/>
    <w:rsid w:val="00320526"/>
    <w:rsid w:val="0032460F"/>
    <w:rsid w:val="003420A8"/>
    <w:rsid w:val="00357442"/>
    <w:rsid w:val="00367C92"/>
    <w:rsid w:val="0037636B"/>
    <w:rsid w:val="003B6C1F"/>
    <w:rsid w:val="003D7057"/>
    <w:rsid w:val="00401D65"/>
    <w:rsid w:val="00416841"/>
    <w:rsid w:val="0042752B"/>
    <w:rsid w:val="00455654"/>
    <w:rsid w:val="00470D93"/>
    <w:rsid w:val="004A2922"/>
    <w:rsid w:val="004C3EA8"/>
    <w:rsid w:val="004D289F"/>
    <w:rsid w:val="004F6E76"/>
    <w:rsid w:val="0050322A"/>
    <w:rsid w:val="0057128B"/>
    <w:rsid w:val="00581CAF"/>
    <w:rsid w:val="005D7C74"/>
    <w:rsid w:val="005E16D2"/>
    <w:rsid w:val="005E4425"/>
    <w:rsid w:val="00667AD4"/>
    <w:rsid w:val="00671667"/>
    <w:rsid w:val="00677A51"/>
    <w:rsid w:val="006B04DE"/>
    <w:rsid w:val="006C1CB0"/>
    <w:rsid w:val="00702150"/>
    <w:rsid w:val="00714301"/>
    <w:rsid w:val="00736695"/>
    <w:rsid w:val="007766EA"/>
    <w:rsid w:val="00780F2A"/>
    <w:rsid w:val="007B20D3"/>
    <w:rsid w:val="007C1490"/>
    <w:rsid w:val="008006EF"/>
    <w:rsid w:val="008348B0"/>
    <w:rsid w:val="008417E2"/>
    <w:rsid w:val="00846457"/>
    <w:rsid w:val="00852646"/>
    <w:rsid w:val="00853C39"/>
    <w:rsid w:val="00857676"/>
    <w:rsid w:val="00862D60"/>
    <w:rsid w:val="00873529"/>
    <w:rsid w:val="008862C8"/>
    <w:rsid w:val="008B5EDD"/>
    <w:rsid w:val="008E6CEC"/>
    <w:rsid w:val="00910976"/>
    <w:rsid w:val="00967C36"/>
    <w:rsid w:val="0098117C"/>
    <w:rsid w:val="009B6FA5"/>
    <w:rsid w:val="009B7D54"/>
    <w:rsid w:val="009C4459"/>
    <w:rsid w:val="00A02D78"/>
    <w:rsid w:val="00A06F1B"/>
    <w:rsid w:val="00A5446B"/>
    <w:rsid w:val="00A6441F"/>
    <w:rsid w:val="00A921B9"/>
    <w:rsid w:val="00AB2461"/>
    <w:rsid w:val="00AC7897"/>
    <w:rsid w:val="00AD13DA"/>
    <w:rsid w:val="00AD69D9"/>
    <w:rsid w:val="00AD7109"/>
    <w:rsid w:val="00AE2D5F"/>
    <w:rsid w:val="00AE4034"/>
    <w:rsid w:val="00AF01F8"/>
    <w:rsid w:val="00B04021"/>
    <w:rsid w:val="00B304FF"/>
    <w:rsid w:val="00B5474B"/>
    <w:rsid w:val="00B735F9"/>
    <w:rsid w:val="00B973AD"/>
    <w:rsid w:val="00BA2A41"/>
    <w:rsid w:val="00BA364A"/>
    <w:rsid w:val="00BB30F2"/>
    <w:rsid w:val="00BB409D"/>
    <w:rsid w:val="00BC6FB3"/>
    <w:rsid w:val="00BE301D"/>
    <w:rsid w:val="00BF0C74"/>
    <w:rsid w:val="00C1159F"/>
    <w:rsid w:val="00C1665C"/>
    <w:rsid w:val="00C55EC8"/>
    <w:rsid w:val="00C57FCA"/>
    <w:rsid w:val="00C624C1"/>
    <w:rsid w:val="00C77843"/>
    <w:rsid w:val="00CB7794"/>
    <w:rsid w:val="00CC482E"/>
    <w:rsid w:val="00CC69B2"/>
    <w:rsid w:val="00CE3910"/>
    <w:rsid w:val="00CE4D66"/>
    <w:rsid w:val="00CF6F11"/>
    <w:rsid w:val="00D01389"/>
    <w:rsid w:val="00D07FAE"/>
    <w:rsid w:val="00D20362"/>
    <w:rsid w:val="00D52FDB"/>
    <w:rsid w:val="00DA2BD8"/>
    <w:rsid w:val="00DB188A"/>
    <w:rsid w:val="00DF61B1"/>
    <w:rsid w:val="00E17870"/>
    <w:rsid w:val="00E520F3"/>
    <w:rsid w:val="00E52EFB"/>
    <w:rsid w:val="00E538B0"/>
    <w:rsid w:val="00E63C80"/>
    <w:rsid w:val="00E72FC6"/>
    <w:rsid w:val="00E74A0E"/>
    <w:rsid w:val="00E8570C"/>
    <w:rsid w:val="00EB17CE"/>
    <w:rsid w:val="00EB282F"/>
    <w:rsid w:val="00EE53B6"/>
    <w:rsid w:val="00F0124E"/>
    <w:rsid w:val="00F24104"/>
    <w:rsid w:val="00F53A42"/>
    <w:rsid w:val="00F6112E"/>
    <w:rsid w:val="00FB2525"/>
    <w:rsid w:val="00FB2A09"/>
    <w:rsid w:val="00FC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BA39"/>
  <w15:docId w15:val="{739DA69C-4A78-4772-B73C-B15D549D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A42"/>
    <w:rPr>
      <w:color w:val="0000FF"/>
      <w:u w:val="single"/>
    </w:rPr>
  </w:style>
  <w:style w:type="table" w:styleId="TableGrid">
    <w:name w:val="Table Grid"/>
    <w:basedOn w:val="TableNormal"/>
    <w:uiPriority w:val="39"/>
    <w:rsid w:val="0085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F3"/>
    <w:pPr>
      <w:ind w:left="720"/>
      <w:contextualSpacing/>
    </w:pPr>
  </w:style>
  <w:style w:type="paragraph" w:styleId="Header">
    <w:name w:val="header"/>
    <w:basedOn w:val="Normal"/>
    <w:link w:val="HeaderChar"/>
    <w:uiPriority w:val="99"/>
    <w:unhideWhenUsed/>
    <w:rsid w:val="00BC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FB3"/>
  </w:style>
  <w:style w:type="paragraph" w:styleId="Footer">
    <w:name w:val="footer"/>
    <w:basedOn w:val="Normal"/>
    <w:link w:val="FooterChar"/>
    <w:uiPriority w:val="99"/>
    <w:unhideWhenUsed/>
    <w:rsid w:val="00BC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FB3"/>
  </w:style>
  <w:style w:type="paragraph" w:styleId="BalloonText">
    <w:name w:val="Balloon Text"/>
    <w:basedOn w:val="Normal"/>
    <w:link w:val="BalloonTextChar"/>
    <w:uiPriority w:val="99"/>
    <w:semiHidden/>
    <w:unhideWhenUsed/>
    <w:rsid w:val="008B5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DD"/>
    <w:rPr>
      <w:rFonts w:ascii="Segoe UI" w:hAnsi="Segoe UI" w:cs="Segoe UI"/>
      <w:sz w:val="18"/>
      <w:szCs w:val="18"/>
    </w:rPr>
  </w:style>
  <w:style w:type="character" w:styleId="CommentReference">
    <w:name w:val="annotation reference"/>
    <w:basedOn w:val="DefaultParagraphFont"/>
    <w:uiPriority w:val="99"/>
    <w:semiHidden/>
    <w:unhideWhenUsed/>
    <w:rsid w:val="00F6112E"/>
    <w:rPr>
      <w:sz w:val="16"/>
      <w:szCs w:val="16"/>
    </w:rPr>
  </w:style>
  <w:style w:type="paragraph" w:styleId="CommentText">
    <w:name w:val="annotation text"/>
    <w:basedOn w:val="Normal"/>
    <w:link w:val="CommentTextChar"/>
    <w:uiPriority w:val="99"/>
    <w:semiHidden/>
    <w:unhideWhenUsed/>
    <w:rsid w:val="00F6112E"/>
    <w:pPr>
      <w:spacing w:line="240" w:lineRule="auto"/>
    </w:pPr>
    <w:rPr>
      <w:sz w:val="20"/>
      <w:szCs w:val="20"/>
    </w:rPr>
  </w:style>
  <w:style w:type="character" w:customStyle="1" w:styleId="CommentTextChar">
    <w:name w:val="Comment Text Char"/>
    <w:basedOn w:val="DefaultParagraphFont"/>
    <w:link w:val="CommentText"/>
    <w:uiPriority w:val="99"/>
    <w:semiHidden/>
    <w:rsid w:val="00F6112E"/>
    <w:rPr>
      <w:sz w:val="20"/>
      <w:szCs w:val="20"/>
    </w:rPr>
  </w:style>
  <w:style w:type="paragraph" w:styleId="CommentSubject">
    <w:name w:val="annotation subject"/>
    <w:basedOn w:val="CommentText"/>
    <w:next w:val="CommentText"/>
    <w:link w:val="CommentSubjectChar"/>
    <w:uiPriority w:val="99"/>
    <w:semiHidden/>
    <w:unhideWhenUsed/>
    <w:rsid w:val="00F6112E"/>
    <w:rPr>
      <w:b/>
      <w:bCs/>
    </w:rPr>
  </w:style>
  <w:style w:type="character" w:customStyle="1" w:styleId="CommentSubjectChar">
    <w:name w:val="Comment Subject Char"/>
    <w:basedOn w:val="CommentTextChar"/>
    <w:link w:val="CommentSubject"/>
    <w:uiPriority w:val="99"/>
    <w:semiHidden/>
    <w:rsid w:val="00F61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5126">
      <w:bodyDiv w:val="1"/>
      <w:marLeft w:val="0"/>
      <w:marRight w:val="0"/>
      <w:marTop w:val="0"/>
      <w:marBottom w:val="0"/>
      <w:divBdr>
        <w:top w:val="none" w:sz="0" w:space="0" w:color="auto"/>
        <w:left w:val="none" w:sz="0" w:space="0" w:color="auto"/>
        <w:bottom w:val="none" w:sz="0" w:space="0" w:color="auto"/>
        <w:right w:val="none" w:sz="0" w:space="0" w:color="auto"/>
      </w:divBdr>
    </w:div>
    <w:div w:id="712920789">
      <w:bodyDiv w:val="1"/>
      <w:marLeft w:val="0"/>
      <w:marRight w:val="0"/>
      <w:marTop w:val="0"/>
      <w:marBottom w:val="0"/>
      <w:divBdr>
        <w:top w:val="none" w:sz="0" w:space="0" w:color="auto"/>
        <w:left w:val="none" w:sz="0" w:space="0" w:color="auto"/>
        <w:bottom w:val="none" w:sz="0" w:space="0" w:color="auto"/>
        <w:right w:val="none" w:sz="0" w:space="0" w:color="auto"/>
      </w:divBdr>
    </w:div>
    <w:div w:id="1087655009">
      <w:bodyDiv w:val="1"/>
      <w:marLeft w:val="0"/>
      <w:marRight w:val="0"/>
      <w:marTop w:val="0"/>
      <w:marBottom w:val="0"/>
      <w:divBdr>
        <w:top w:val="none" w:sz="0" w:space="0" w:color="auto"/>
        <w:left w:val="none" w:sz="0" w:space="0" w:color="auto"/>
        <w:bottom w:val="none" w:sz="0" w:space="0" w:color="auto"/>
        <w:right w:val="none" w:sz="0" w:space="0" w:color="auto"/>
      </w:divBdr>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
    <w:div w:id="19310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0AB7-FFCA-4E34-880F-4ABF9E78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Stubbs</dc:creator>
  <cp:keywords/>
  <dc:description/>
  <cp:lastModifiedBy>Jonathan Stubbs</cp:lastModifiedBy>
  <cp:revision>6</cp:revision>
  <cp:lastPrinted>2017-01-24T10:45:00Z</cp:lastPrinted>
  <dcterms:created xsi:type="dcterms:W3CDTF">2018-10-15T07:37:00Z</dcterms:created>
  <dcterms:modified xsi:type="dcterms:W3CDTF">2020-08-05T11:22:00Z</dcterms:modified>
</cp:coreProperties>
</file>