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78512591"/>
        <w:docPartObj>
          <w:docPartGallery w:val="Cover Pages"/>
          <w:docPartUnique/>
        </w:docPartObj>
      </w:sdtPr>
      <w:sdtEndPr/>
      <w:sdtContent>
        <w:p w14:paraId="3F6889D5" w14:textId="3E658F13" w:rsidR="002D7D81" w:rsidRDefault="00C72A9E">
          <w:r>
            <w:rPr>
              <w:noProof/>
            </w:rPr>
            <mc:AlternateContent>
              <mc:Choice Requires="wpg">
                <w:drawing>
                  <wp:anchor distT="0" distB="0" distL="114300" distR="114300" simplePos="0" relativeHeight="251663360" behindDoc="0" locked="0" layoutInCell="1" allowOverlap="1" wp14:anchorId="287C7936" wp14:editId="6ADEBB1F">
                    <wp:simplePos x="0" y="0"/>
                    <wp:positionH relativeFrom="column">
                      <wp:posOffset>3108960</wp:posOffset>
                    </wp:positionH>
                    <wp:positionV relativeFrom="paragraph">
                      <wp:posOffset>-114300</wp:posOffset>
                    </wp:positionV>
                    <wp:extent cx="2377440" cy="776605"/>
                    <wp:effectExtent l="0" t="0" r="10160" b="36195"/>
                    <wp:wrapNone/>
                    <wp:docPr id="91" name="Group 91"/>
                    <wp:cNvGraphicFramePr/>
                    <a:graphic xmlns:a="http://schemas.openxmlformats.org/drawingml/2006/main">
                      <a:graphicData uri="http://schemas.microsoft.com/office/word/2010/wordprocessingGroup">
                        <wpg:wgp>
                          <wpg:cNvGrpSpPr/>
                          <wpg:grpSpPr>
                            <a:xfrm>
                              <a:off x="0" y="0"/>
                              <a:ext cx="237744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808080"/>
                                    </a:solidFill>
                                    <a:miter lim="800000"/>
                                    <a:headEnd/>
                                    <a:tailEnd/>
                                  </a14:hiddenLine>
                                </a:ext>
                              </a:extLst>
                            </wps:spPr>
                            <wps:txbx>
                              <w:txbxContent>
                                <w:p w14:paraId="47363F20" w14:textId="207E3FBC" w:rsidR="007008A8" w:rsidRDefault="007008A8">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August</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7F41A9" w14:textId="0B5FFEE2" w:rsidR="007008A8" w:rsidRPr="002D7D81" w:rsidRDefault="007008A8">
                                  <w:pPr>
                                    <w:contextualSpacing/>
                                    <w:rPr>
                                      <w:rFonts w:asciiTheme="majorHAnsi" w:hAnsiTheme="majorHAnsi"/>
                                      <w:color w:val="808080" w:themeColor="background1" w:themeShade="80"/>
                                      <w:sz w:val="92"/>
                                      <w:szCs w:val="92"/>
                                    </w:rPr>
                                  </w:pPr>
                                  <w:r w:rsidRPr="002D7D81">
                                    <w:rPr>
                                      <w:rFonts w:asciiTheme="majorHAnsi" w:hAnsiTheme="majorHAnsi"/>
                                      <w:color w:val="808080" w:themeColor="background1" w:themeShade="80"/>
                                      <w:sz w:val="92"/>
                                      <w:szCs w:val="92"/>
                                    </w:rPr>
                                    <w:t>18</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anchor>
                </w:drawing>
              </mc:Choice>
              <mc:Fallback>
                <w:pict>
                  <v:group w14:anchorId="287C7936" id="Group 91" o:spid="_x0000_s1026" style="position:absolute;margin-left:244.8pt;margin-top:-9pt;width:187.2pt;height:61.15pt;z-index:251663360" coordsize="23774,7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">
                    <v:shapetype id="_x0000_t202" coordsize="21600,21600" o:spt="202" path="m,l,21600r21600,l21600,xe">
                      <v:stroke joinstyle="miter"/>
                      <v:path gradientshapeok="t" o:connecttype="rect"/>
                    </v:shapetype>
                    <v:shape id="Text Box 6" o:spid="_x0000_s1027" type="#_x0000_t202" style="position:absolute;top:1238;width:12579;height:5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14:paraId="47363F20" w14:textId="207E3FBC" w:rsidR="007008A8" w:rsidRDefault="007008A8">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August</w:t>
                            </w:r>
                          </w:p>
                        </w:txbxContent>
                      </v:textbox>
                    </v:shape>
                    <v:shape id="Text Box 7" o:spid="_x0000_s1028" type="#_x0000_t202" style="position:absolute;left:13811;width:9963;height:7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wc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C6WiwcyAAAAOAA&#13;&#10;AAAPAAAAAAAAAAAAAAAAAAcCAABkcnMvZG93bnJldi54bWxQSwUGAAAAAAMAAwC3AAAA/AIAAAAA&#13;&#10;" filled="f" stroked="f">
                      <v:textbox inset="0,0,0,0">
                        <w:txbxContent>
                          <w:p w14:paraId="047F41A9" w14:textId="0B5FFEE2" w:rsidR="007008A8" w:rsidRPr="002D7D81" w:rsidRDefault="007008A8">
                            <w:pPr>
                              <w:contextualSpacing/>
                              <w:rPr>
                                <w:rFonts w:asciiTheme="majorHAnsi" w:hAnsiTheme="majorHAnsi"/>
                                <w:color w:val="808080" w:themeColor="background1" w:themeShade="80"/>
                                <w:sz w:val="92"/>
                                <w:szCs w:val="92"/>
                              </w:rPr>
                            </w:pPr>
                            <w:r w:rsidRPr="002D7D81">
                              <w:rPr>
                                <w:rFonts w:asciiTheme="majorHAnsi" w:hAnsiTheme="majorHAnsi"/>
                                <w:color w:val="808080" w:themeColor="background1" w:themeShade="80"/>
                                <w:sz w:val="92"/>
                                <w:szCs w:val="92"/>
                              </w:rPr>
                              <w:t>18</w:t>
                            </w:r>
                          </w:p>
                        </w:txbxContent>
                      </v:textbox>
                    </v:shape>
                    <v:shapetype id="_x0000_t32" coordsize="21600,21600" o:spt="32" o:oned="t" path="m,l21600,21600e" filled="f">
                      <v:path arrowok="t" fillok="f" o:connecttype="none"/>
                      <o:lock v:ext="edit" shapetype="t"/>
                    </v:shapetype>
                    <v:shape id="AutoShape 8" o:spid="_x0000_s1029" type="#_x0000_t32" style="position:absolute;left:13335;top:1905;width:0;height:586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" strokecolor="gray" strokeweight="1.5pt"/>
                  </v:group>
                </w:pict>
              </mc:Fallback>
            </mc:AlternateContent>
          </w:r>
          <w:r>
            <w:rPr>
              <w:noProof/>
            </w:rPr>
            <mc:AlternateContent>
              <mc:Choice Requires="wps">
                <w:drawing>
                  <wp:anchor distT="0" distB="0" distL="114300" distR="114300" simplePos="0" relativeHeight="251662336" behindDoc="0" locked="0" layoutInCell="1" allowOverlap="1" wp14:anchorId="1DB4E0CE" wp14:editId="38A968AC">
                    <wp:simplePos x="0" y="0"/>
                    <wp:positionH relativeFrom="page">
                      <wp:posOffset>274320</wp:posOffset>
                    </wp:positionH>
                    <wp:positionV relativeFrom="page">
                      <wp:posOffset>457200</wp:posOffset>
                    </wp:positionV>
                    <wp:extent cx="6126480" cy="184785"/>
                    <wp:effectExtent l="0" t="0" r="0" b="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184785"/>
                            </a:xfrm>
                            <a:prstGeom prst="rect">
                              <a:avLst/>
                            </a:prstGeom>
                            <a:solidFill>
                              <a:schemeClr val="bg1">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21.6pt;margin-top:36pt;width:482.4pt;height:1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" fillcolor="#bfbfbf [2412]" stroked="f">
                    <v:textbox inset=",7.2pt,,7.2pt"/>
                    <w10:wrap anchorx="page" anchory="page"/>
                  </v:rect>
                </w:pict>
              </mc:Fallback>
            </mc:AlternateContent>
          </w:r>
          <w:r w:rsidR="002D7D81">
            <w:rPr>
              <w:noProof/>
            </w:rPr>
            <mc:AlternateContent>
              <mc:Choice Requires="wps">
                <w:drawing>
                  <wp:anchor distT="0" distB="0" distL="114300" distR="114300" simplePos="0" relativeHeight="251660288" behindDoc="0" locked="0" layoutInCell="1" allowOverlap="1" wp14:anchorId="010085AB" wp14:editId="0D5E36C6">
                    <wp:simplePos x="0" y="0"/>
                    <wp:positionH relativeFrom="page">
                      <wp:posOffset>429895</wp:posOffset>
                    </wp:positionH>
                    <wp:positionV relativeFrom="page">
                      <wp:posOffset>9107805</wp:posOffset>
                    </wp:positionV>
                    <wp:extent cx="6858000" cy="38862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487087" w14:textId="0DC66B08" w:rsidR="007008A8" w:rsidRPr="008F7674" w:rsidRDefault="007008A8" w:rsidP="008F7674">
                                <w:pPr>
                                  <w:jc w:val="center"/>
                                  <w:rPr>
                                    <w:rFonts w:asciiTheme="majorHAnsi" w:hAnsiTheme="majorHAnsi" w:cstheme="majorHAnsi"/>
                                    <w:b/>
                                    <w:bCs/>
                                    <w:color w:val="808080" w:themeColor="background1" w:themeShade="80"/>
                                  </w:rPr>
                                </w:pPr>
                                <w:r w:rsidRPr="008F7674">
                                  <w:rPr>
                                    <w:rFonts w:asciiTheme="majorHAnsi" w:hAnsiTheme="majorHAnsi" w:cstheme="majorHAnsi"/>
                                    <w:b/>
                                    <w:bCs/>
                                    <w:color w:val="808080" w:themeColor="background1" w:themeShade="80"/>
                                  </w:rPr>
                                  <w:t>Frazer James, Square Works, 17 Berkeley Square, Bristol BS8 1HB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085AB" id="Rectangle 2" o:spid="_x0000_s1030" style="position:absolute;margin-left:33.85pt;margin-top:717.15pt;width:540pt;height:3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" filled="f" stroked="f">
                    <v:textbox>
                      <w:txbxContent>
                        <w:p w14:paraId="14487087" w14:textId="0DC66B08" w:rsidR="007008A8" w:rsidRPr="008F7674" w:rsidRDefault="007008A8" w:rsidP="008F7674">
                          <w:pPr>
                            <w:jc w:val="center"/>
                            <w:rPr>
                              <w:rFonts w:asciiTheme="majorHAnsi" w:hAnsiTheme="majorHAnsi" w:cstheme="majorHAnsi"/>
                              <w:b/>
                              <w:bCs/>
                              <w:color w:val="808080" w:themeColor="background1" w:themeShade="80"/>
                            </w:rPr>
                          </w:pPr>
                          <w:r w:rsidRPr="008F7674">
                            <w:rPr>
                              <w:rFonts w:asciiTheme="majorHAnsi" w:hAnsiTheme="majorHAnsi" w:cstheme="majorHAnsi"/>
                              <w:b/>
                              <w:bCs/>
                              <w:color w:val="808080" w:themeColor="background1" w:themeShade="80"/>
                            </w:rPr>
                            <w:t>Frazer James, Square Works, 17 Berkeley Square, Bristol BS8 1HB</w:t>
                          </w:r>
                        </w:p>
                      </w:txbxContent>
                    </v:textbox>
                    <w10:wrap anchorx="page" anchory="page"/>
                  </v:rect>
                </w:pict>
              </mc:Fallback>
            </mc:AlternateContent>
          </w:r>
          <w:r w:rsidR="002D7D81">
            <w:rPr>
              <w:noProof/>
            </w:rPr>
            <mc:AlternateContent>
              <mc:Choice Requires="wpg">
                <w:drawing>
                  <wp:anchor distT="0" distB="0" distL="114300" distR="114300" simplePos="0" relativeHeight="251659264" behindDoc="1" locked="0" layoutInCell="1" allowOverlap="1" wp14:anchorId="6E55D4B9" wp14:editId="6DCEB04B">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21.6pt;margin-top:702pt;width:568.8pt;height:54.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2D7D81">
            <w:rPr>
              <w:noProof/>
            </w:rPr>
            <mc:AlternateContent>
              <mc:Choice Requires="wpg">
                <w:drawing>
                  <wp:anchor distT="0" distB="0" distL="114300" distR="114300" simplePos="0" relativeHeight="251664384" behindDoc="0" locked="0" layoutInCell="1" allowOverlap="1" wp14:anchorId="2D4E2D73" wp14:editId="2B326687">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E5CDD8" w14:textId="77777777" w:rsidR="007008A8" w:rsidRDefault="007008A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06A28C" w14:textId="77777777" w:rsidR="007008A8" w:rsidRDefault="007008A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E2D73" id="Group 15" o:spid="_x0000_s1031" style="position:absolute;margin-left:364.5pt;margin-top:-385.7pt;width:143.25pt;height:60.75pt;z-index:251664384"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">
                    <v:shape id="Text Box 16" o:spid="_x0000_s1032"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5FE5CDD8" w14:textId="77777777" w:rsidR="007008A8" w:rsidRDefault="007008A8">
                            <w:pPr>
                              <w:rPr>
                                <w:color w:val="FFFFFF"/>
                                <w:sz w:val="92"/>
                                <w:szCs w:val="92"/>
                              </w:rPr>
                            </w:pPr>
                            <w:r>
                              <w:rPr>
                                <w:color w:val="FFFFFF"/>
                                <w:sz w:val="92"/>
                                <w:szCs w:val="92"/>
                              </w:rPr>
                              <w:t>08</w:t>
                            </w:r>
                          </w:p>
                        </w:txbxContent>
                      </v:textbox>
                    </v:shape>
                    <v:shape id="AutoShape 17" o:spid="_x0000_s1033"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v:shape id="Text Box 18" o:spid="_x0000_s1034"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1C06A28C" w14:textId="77777777" w:rsidR="007008A8" w:rsidRDefault="007008A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75E3C6DD" w14:textId="592E9388" w:rsidR="002D7D81" w:rsidRDefault="008F7674">
          <w:pPr>
            <w:rPr>
              <w:rFonts w:asciiTheme="majorHAnsi" w:eastAsiaTheme="majorEastAsia" w:hAnsiTheme="majorHAnsi" w:cstheme="majorBidi"/>
              <w:b/>
              <w:bCs/>
              <w:sz w:val="32"/>
              <w:szCs w:val="32"/>
            </w:rPr>
          </w:pPr>
          <w:r>
            <w:rPr>
              <w:noProof/>
            </w:rPr>
            <w:drawing>
              <wp:anchor distT="0" distB="0" distL="114300" distR="114300" simplePos="0" relativeHeight="251665408" behindDoc="0" locked="0" layoutInCell="1" allowOverlap="1" wp14:anchorId="142A075B" wp14:editId="79966298">
                <wp:simplePos x="0" y="0"/>
                <wp:positionH relativeFrom="column">
                  <wp:posOffset>-168910</wp:posOffset>
                </wp:positionH>
                <wp:positionV relativeFrom="paragraph">
                  <wp:posOffset>2426970</wp:posOffset>
                </wp:positionV>
                <wp:extent cx="5270500" cy="1293495"/>
                <wp:effectExtent l="0" t="0" r="0" b="1905"/>
                <wp:wrapSquare wrapText="bothSides"/>
                <wp:docPr id="20" name="Picture 2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 Grey on white (png).png"/>
                        <pic:cNvPicPr/>
                      </pic:nvPicPr>
                      <pic:blipFill>
                        <a:blip r:embed="rId9"/>
                        <a:stretch>
                          <a:fillRect/>
                        </a:stretch>
                      </pic:blipFill>
                      <pic:spPr>
                        <a:xfrm>
                          <a:off x="0" y="0"/>
                          <a:ext cx="5270500" cy="1293495"/>
                        </a:xfrm>
                        <a:prstGeom prst="rect">
                          <a:avLst/>
                        </a:prstGeom>
                      </pic:spPr>
                    </pic:pic>
                  </a:graphicData>
                </a:graphic>
                <wp14:sizeRelH relativeFrom="page">
                  <wp14:pctWidth>0</wp14:pctWidth>
                </wp14:sizeRelH>
                <wp14:sizeRelV relativeFrom="page">
                  <wp14:pctHeight>0</wp14:pctHeight>
                </wp14:sizeRelV>
              </wp:anchor>
            </w:drawing>
          </w:r>
          <w:r w:rsidR="002D7D81">
            <w:rPr>
              <w:noProof/>
            </w:rPr>
            <mc:AlternateContent>
              <mc:Choice Requires="wps">
                <w:drawing>
                  <wp:anchor distT="0" distB="0" distL="114300" distR="114300" simplePos="0" relativeHeight="251661312" behindDoc="0" locked="0" layoutInCell="1" allowOverlap="1" wp14:anchorId="0BFEB5A9" wp14:editId="7052EDBB">
                    <wp:simplePos x="0" y="0"/>
                    <wp:positionH relativeFrom="page">
                      <wp:posOffset>429261</wp:posOffset>
                    </wp:positionH>
                    <wp:positionV relativeFrom="page">
                      <wp:posOffset>4983480</wp:posOffset>
                    </wp:positionV>
                    <wp:extent cx="6085840" cy="3418205"/>
                    <wp:effectExtent l="0" t="0" r="0" b="1079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840" cy="3418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color w:val="808080" w:themeColor="background1" w:themeShade="80"/>
                                    <w:sz w:val="44"/>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50A7C9BD" w14:textId="1609C573" w:rsidR="007008A8" w:rsidRPr="00C72A9E" w:rsidRDefault="007008A8" w:rsidP="008F7674">
                                    <w:pPr>
                                      <w:contextualSpacing/>
                                      <w:jc w:val="center"/>
                                      <w:rPr>
                                        <w:rFonts w:asciiTheme="majorHAnsi" w:hAnsiTheme="majorHAnsi"/>
                                        <w:color w:val="808080" w:themeColor="background1" w:themeShade="80"/>
                                        <w:sz w:val="44"/>
                                        <w:szCs w:val="56"/>
                                      </w:rPr>
                                    </w:pPr>
                                    <w:r w:rsidRPr="00C72A9E">
                                      <w:rPr>
                                        <w:rFonts w:asciiTheme="majorHAnsi" w:hAnsiTheme="majorHAnsi"/>
                                        <w:color w:val="808080" w:themeColor="background1" w:themeShade="80"/>
                                        <w:sz w:val="44"/>
                                        <w:szCs w:val="56"/>
                                      </w:rPr>
                                      <w:t>Capital Market Assumptions &amp; System Preferences</w:t>
                                    </w:r>
                                  </w:p>
                                </w:sdtContent>
                              </w:sdt>
                              <w:p w14:paraId="73E3CEA4" w14:textId="77777777" w:rsidR="007008A8" w:rsidRDefault="007008A8" w:rsidP="008F7674">
                                <w:pPr>
                                  <w:contextualSpacing/>
                                  <w:jc w:val="center"/>
                                  <w:rPr>
                                    <w:rFonts w:asciiTheme="majorHAnsi" w:hAnsiTheme="majorHAnsi"/>
                                    <w:color w:val="808080" w:themeColor="background1" w:themeShade="80"/>
                                  </w:rPr>
                                </w:pPr>
                              </w:p>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EndPr/>
                                <w:sdtContent>
                                  <w:p w14:paraId="40572651" w14:textId="7DDF1F41" w:rsidR="007008A8" w:rsidRDefault="007008A8" w:rsidP="008F7674">
                                    <w:pPr>
                                      <w:contextualSpacing/>
                                      <w:jc w:val="center"/>
                                      <w:rPr>
                                        <w:rFonts w:asciiTheme="majorHAnsi" w:hAnsiTheme="majorHAnsi"/>
                                        <w:color w:val="808080" w:themeColor="background1" w:themeShade="80"/>
                                      </w:rPr>
                                    </w:pPr>
                                    <w:r>
                                      <w:rPr>
                                        <w:rFonts w:asciiTheme="majorHAnsi" w:hAnsiTheme="majorHAnsi"/>
                                        <w:color w:val="808080" w:themeColor="background1" w:themeShade="80"/>
                                      </w:rPr>
                                      <w:t>This document outlines our capital market assumptions and preferences for cash flow planning.</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B5A9" id="Rectangle 3" o:spid="_x0000_s1035" style="position:absolute;margin-left:33.8pt;margin-top:392.4pt;width:479.2pt;height:26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" filled="f" stroked="f">
                    <v:textbox>
                      <w:txbxContent>
                        <w:sdt>
                          <w:sdtPr>
                            <w:rPr>
                              <w:rFonts w:asciiTheme="majorHAnsi" w:hAnsiTheme="majorHAnsi"/>
                              <w:color w:val="808080" w:themeColor="background1" w:themeShade="80"/>
                              <w:sz w:val="44"/>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p w14:paraId="50A7C9BD" w14:textId="1609C573" w:rsidR="007008A8" w:rsidRPr="00C72A9E" w:rsidRDefault="007008A8" w:rsidP="008F7674">
                              <w:pPr>
                                <w:contextualSpacing/>
                                <w:jc w:val="center"/>
                                <w:rPr>
                                  <w:rFonts w:asciiTheme="majorHAnsi" w:hAnsiTheme="majorHAnsi"/>
                                  <w:color w:val="808080" w:themeColor="background1" w:themeShade="80"/>
                                  <w:sz w:val="44"/>
                                  <w:szCs w:val="56"/>
                                </w:rPr>
                              </w:pPr>
                              <w:r w:rsidRPr="00C72A9E">
                                <w:rPr>
                                  <w:rFonts w:asciiTheme="majorHAnsi" w:hAnsiTheme="majorHAnsi"/>
                                  <w:color w:val="808080" w:themeColor="background1" w:themeShade="80"/>
                                  <w:sz w:val="44"/>
                                  <w:szCs w:val="56"/>
                                </w:rPr>
                                <w:t>Capital Market Assumptions &amp; System Preferences</w:t>
                              </w:r>
                            </w:p>
                          </w:sdtContent>
                        </w:sdt>
                        <w:p w14:paraId="73E3CEA4" w14:textId="77777777" w:rsidR="007008A8" w:rsidRDefault="007008A8" w:rsidP="008F7674">
                          <w:pPr>
                            <w:contextualSpacing/>
                            <w:jc w:val="center"/>
                            <w:rPr>
                              <w:rFonts w:asciiTheme="majorHAnsi" w:hAnsiTheme="majorHAnsi"/>
                              <w:color w:val="808080" w:themeColor="background1" w:themeShade="80"/>
                            </w:rPr>
                          </w:pPr>
                        </w:p>
                        <w:sdt>
                          <w:sdtPr>
                            <w:rPr>
                              <w:rFonts w:asciiTheme="majorHAnsi" w:hAnsiTheme="majorHAnsi"/>
                              <w:color w:val="808080" w:themeColor="background1" w:themeShade="80"/>
                            </w:rPr>
                            <w:alias w:val="Abstract"/>
                            <w:id w:val="8081542"/>
                            <w:dataBinding w:prefixMappings="xmlns:ns0='http://schemas.microsoft.com/office/2006/coverPageProps' " w:xpath="/ns0:CoverPageProperties[1]/ns0:Abstract[1]" w:storeItemID="{55AF091B-3C7A-41E3-B477-F2FDAA23CFDA}"/>
                            <w:text/>
                          </w:sdtPr>
                          <w:sdtContent>
                            <w:p w14:paraId="40572651" w14:textId="7DDF1F41" w:rsidR="007008A8" w:rsidRDefault="007008A8" w:rsidP="008F7674">
                              <w:pPr>
                                <w:contextualSpacing/>
                                <w:jc w:val="center"/>
                                <w:rPr>
                                  <w:rFonts w:asciiTheme="majorHAnsi" w:hAnsiTheme="majorHAnsi"/>
                                  <w:color w:val="808080" w:themeColor="background1" w:themeShade="80"/>
                                </w:rPr>
                              </w:pPr>
                              <w:r>
                                <w:rPr>
                                  <w:rFonts w:asciiTheme="majorHAnsi" w:hAnsiTheme="majorHAnsi"/>
                                  <w:color w:val="808080" w:themeColor="background1" w:themeShade="80"/>
                                </w:rPr>
                                <w:t>This document outlines our capital market assumptions and preferences for cash flow planning.</w:t>
                              </w:r>
                            </w:p>
                          </w:sdtContent>
                        </w:sdt>
                      </w:txbxContent>
                    </v:textbox>
                    <w10:wrap anchorx="page" anchory="page"/>
                  </v:rect>
                </w:pict>
              </mc:Fallback>
            </mc:AlternateContent>
          </w:r>
          <w:r w:rsidR="002D7D81">
            <w:br w:type="page"/>
          </w:r>
        </w:p>
      </w:sdtContent>
    </w:sdt>
    <w:sdt>
      <w:sdtPr>
        <w:rPr>
          <w:rFonts w:asciiTheme="minorHAnsi" w:eastAsiaTheme="minorEastAsia" w:hAnsiTheme="minorHAnsi" w:cstheme="minorBidi"/>
          <w:b w:val="0"/>
          <w:bCs w:val="0"/>
          <w:color w:val="auto"/>
          <w:sz w:val="36"/>
          <w:szCs w:val="36"/>
          <w:u w:val="single"/>
          <w:lang w:val="en-GB"/>
        </w:rPr>
        <w:id w:val="1762178858"/>
        <w:docPartObj>
          <w:docPartGallery w:val="Table of Contents"/>
          <w:docPartUnique/>
        </w:docPartObj>
      </w:sdtPr>
      <w:sdtEndPr>
        <w:rPr>
          <w:noProof/>
          <w:sz w:val="24"/>
          <w:szCs w:val="24"/>
          <w:u w:val="none"/>
        </w:rPr>
      </w:sdtEndPr>
      <w:sdtContent>
        <w:p w14:paraId="2E27F0C2" w14:textId="6D92D1B9" w:rsidR="002D7D81" w:rsidRPr="00C72A9E" w:rsidRDefault="002D7D81" w:rsidP="00A37AE9">
          <w:pPr>
            <w:pStyle w:val="TOCHeading"/>
            <w:spacing w:line="360" w:lineRule="auto"/>
            <w:rPr>
              <w:color w:val="auto"/>
              <w:sz w:val="36"/>
              <w:szCs w:val="36"/>
              <w:u w:val="single"/>
            </w:rPr>
          </w:pPr>
          <w:r w:rsidRPr="00C72A9E">
            <w:rPr>
              <w:color w:val="auto"/>
              <w:sz w:val="36"/>
              <w:szCs w:val="36"/>
              <w:u w:val="single"/>
            </w:rPr>
            <w:t>Table of Contents</w:t>
          </w:r>
        </w:p>
        <w:p w14:paraId="37E07BC4" w14:textId="77777777" w:rsidR="00C72A9E" w:rsidRPr="00C72A9E" w:rsidRDefault="002D7D81" w:rsidP="00C72A9E">
          <w:pPr>
            <w:pStyle w:val="TOC1"/>
            <w:tabs>
              <w:tab w:val="right" w:leader="dot" w:pos="8290"/>
            </w:tabs>
            <w:spacing w:line="480" w:lineRule="auto"/>
            <w:rPr>
              <w:rFonts w:asciiTheme="majorHAnsi" w:hAnsiTheme="majorHAnsi"/>
              <w:b w:val="0"/>
              <w:noProof/>
              <w:lang w:eastAsia="ja-JP"/>
            </w:rPr>
          </w:pPr>
          <w:r w:rsidRPr="00C72A9E">
            <w:rPr>
              <w:rFonts w:asciiTheme="majorHAnsi" w:hAnsiTheme="majorHAnsi"/>
              <w:b w:val="0"/>
            </w:rPr>
            <w:fldChar w:fldCharType="begin"/>
          </w:r>
          <w:r w:rsidRPr="00C72A9E">
            <w:rPr>
              <w:rFonts w:asciiTheme="majorHAnsi" w:hAnsiTheme="majorHAnsi"/>
            </w:rPr>
            <w:instrText xml:space="preserve"> TOC \o "1-3" \h \z \u </w:instrText>
          </w:r>
          <w:r w:rsidRPr="00C72A9E">
            <w:rPr>
              <w:rFonts w:asciiTheme="majorHAnsi" w:hAnsiTheme="majorHAnsi"/>
              <w:b w:val="0"/>
            </w:rPr>
            <w:fldChar w:fldCharType="separate"/>
          </w:r>
          <w:r w:rsidR="00C72A9E" w:rsidRPr="00C72A9E">
            <w:rPr>
              <w:rFonts w:asciiTheme="majorHAnsi" w:hAnsiTheme="majorHAnsi"/>
              <w:noProof/>
            </w:rPr>
            <w:t>Capital Market Assumptions</w:t>
          </w:r>
          <w:r w:rsidR="00C72A9E" w:rsidRPr="00C72A9E">
            <w:rPr>
              <w:rFonts w:asciiTheme="majorHAnsi" w:hAnsiTheme="majorHAnsi"/>
              <w:noProof/>
            </w:rPr>
            <w:tab/>
          </w:r>
          <w:r w:rsidR="00C72A9E" w:rsidRPr="00C72A9E">
            <w:rPr>
              <w:rFonts w:asciiTheme="majorHAnsi" w:hAnsiTheme="majorHAnsi"/>
              <w:noProof/>
            </w:rPr>
            <w:fldChar w:fldCharType="begin"/>
          </w:r>
          <w:r w:rsidR="00C72A9E" w:rsidRPr="00C72A9E">
            <w:rPr>
              <w:rFonts w:asciiTheme="majorHAnsi" w:hAnsiTheme="majorHAnsi"/>
              <w:noProof/>
            </w:rPr>
            <w:instrText xml:space="preserve"> PAGEREF _Toc394484434 \h </w:instrText>
          </w:r>
          <w:r w:rsidR="00C72A9E" w:rsidRPr="00C72A9E">
            <w:rPr>
              <w:rFonts w:asciiTheme="majorHAnsi" w:hAnsiTheme="majorHAnsi"/>
              <w:noProof/>
            </w:rPr>
          </w:r>
          <w:r w:rsidR="00C72A9E" w:rsidRPr="00C72A9E">
            <w:rPr>
              <w:rFonts w:asciiTheme="majorHAnsi" w:hAnsiTheme="majorHAnsi"/>
              <w:noProof/>
            </w:rPr>
            <w:fldChar w:fldCharType="separate"/>
          </w:r>
          <w:r w:rsidR="00976E7C">
            <w:rPr>
              <w:rFonts w:asciiTheme="majorHAnsi" w:hAnsiTheme="majorHAnsi"/>
              <w:noProof/>
            </w:rPr>
            <w:t>3</w:t>
          </w:r>
          <w:r w:rsidR="00C72A9E" w:rsidRPr="00C72A9E">
            <w:rPr>
              <w:rFonts w:asciiTheme="majorHAnsi" w:hAnsiTheme="majorHAnsi"/>
              <w:noProof/>
            </w:rPr>
            <w:fldChar w:fldCharType="end"/>
          </w:r>
        </w:p>
        <w:p w14:paraId="39F8E07A" w14:textId="77777777" w:rsidR="00C72A9E" w:rsidRPr="00C72A9E" w:rsidRDefault="00C72A9E" w:rsidP="00C72A9E">
          <w:pPr>
            <w:pStyle w:val="TOC1"/>
            <w:tabs>
              <w:tab w:val="right" w:leader="dot" w:pos="8290"/>
            </w:tabs>
            <w:spacing w:line="480" w:lineRule="auto"/>
            <w:rPr>
              <w:rFonts w:asciiTheme="majorHAnsi" w:hAnsiTheme="majorHAnsi"/>
              <w:b w:val="0"/>
              <w:noProof/>
              <w:lang w:eastAsia="ja-JP"/>
            </w:rPr>
          </w:pPr>
          <w:r w:rsidRPr="00C72A9E">
            <w:rPr>
              <w:rFonts w:asciiTheme="majorHAnsi" w:hAnsiTheme="majorHAnsi"/>
              <w:noProof/>
            </w:rPr>
            <w:t>System Assumptions</w:t>
          </w:r>
          <w:r w:rsidRPr="00C72A9E">
            <w:rPr>
              <w:rFonts w:asciiTheme="majorHAnsi" w:hAnsiTheme="majorHAnsi"/>
              <w:noProof/>
            </w:rPr>
            <w:tab/>
          </w:r>
          <w:r w:rsidRPr="00C72A9E">
            <w:rPr>
              <w:rFonts w:asciiTheme="majorHAnsi" w:hAnsiTheme="majorHAnsi"/>
              <w:noProof/>
            </w:rPr>
            <w:fldChar w:fldCharType="begin"/>
          </w:r>
          <w:r w:rsidRPr="00C72A9E">
            <w:rPr>
              <w:rFonts w:asciiTheme="majorHAnsi" w:hAnsiTheme="majorHAnsi"/>
              <w:noProof/>
            </w:rPr>
            <w:instrText xml:space="preserve"> PAGEREF _Toc394484435 \h </w:instrText>
          </w:r>
          <w:r w:rsidRPr="00C72A9E">
            <w:rPr>
              <w:rFonts w:asciiTheme="majorHAnsi" w:hAnsiTheme="majorHAnsi"/>
              <w:noProof/>
            </w:rPr>
          </w:r>
          <w:r w:rsidRPr="00C72A9E">
            <w:rPr>
              <w:rFonts w:asciiTheme="majorHAnsi" w:hAnsiTheme="majorHAnsi"/>
              <w:noProof/>
            </w:rPr>
            <w:fldChar w:fldCharType="separate"/>
          </w:r>
          <w:r w:rsidR="00976E7C">
            <w:rPr>
              <w:rFonts w:asciiTheme="majorHAnsi" w:hAnsiTheme="majorHAnsi"/>
              <w:noProof/>
            </w:rPr>
            <w:t>4</w:t>
          </w:r>
          <w:r w:rsidRPr="00C72A9E">
            <w:rPr>
              <w:rFonts w:asciiTheme="majorHAnsi" w:hAnsiTheme="majorHAnsi"/>
              <w:noProof/>
            </w:rPr>
            <w:fldChar w:fldCharType="end"/>
          </w:r>
        </w:p>
        <w:p w14:paraId="1BC86CBB" w14:textId="77777777" w:rsidR="00C72A9E" w:rsidRPr="00C72A9E" w:rsidRDefault="00C72A9E" w:rsidP="00C72A9E">
          <w:pPr>
            <w:pStyle w:val="TOC1"/>
            <w:tabs>
              <w:tab w:val="right" w:leader="dot" w:pos="8290"/>
            </w:tabs>
            <w:spacing w:line="480" w:lineRule="auto"/>
            <w:rPr>
              <w:rFonts w:asciiTheme="majorHAnsi" w:hAnsiTheme="majorHAnsi"/>
              <w:b w:val="0"/>
              <w:noProof/>
              <w:lang w:eastAsia="ja-JP"/>
            </w:rPr>
          </w:pPr>
          <w:r w:rsidRPr="00C72A9E">
            <w:rPr>
              <w:rFonts w:asciiTheme="majorHAnsi" w:hAnsiTheme="majorHAnsi"/>
              <w:noProof/>
            </w:rPr>
            <w:t>System Preferences</w:t>
          </w:r>
          <w:r w:rsidRPr="00C72A9E">
            <w:rPr>
              <w:rFonts w:asciiTheme="majorHAnsi" w:hAnsiTheme="majorHAnsi"/>
              <w:noProof/>
            </w:rPr>
            <w:tab/>
          </w:r>
          <w:r w:rsidRPr="00C72A9E">
            <w:rPr>
              <w:rFonts w:asciiTheme="majorHAnsi" w:hAnsiTheme="majorHAnsi"/>
              <w:noProof/>
            </w:rPr>
            <w:fldChar w:fldCharType="begin"/>
          </w:r>
          <w:r w:rsidRPr="00C72A9E">
            <w:rPr>
              <w:rFonts w:asciiTheme="majorHAnsi" w:hAnsiTheme="majorHAnsi"/>
              <w:noProof/>
            </w:rPr>
            <w:instrText xml:space="preserve"> PAGEREF _Toc394484436 \h </w:instrText>
          </w:r>
          <w:r w:rsidRPr="00C72A9E">
            <w:rPr>
              <w:rFonts w:asciiTheme="majorHAnsi" w:hAnsiTheme="majorHAnsi"/>
              <w:noProof/>
            </w:rPr>
          </w:r>
          <w:r w:rsidRPr="00C72A9E">
            <w:rPr>
              <w:rFonts w:asciiTheme="majorHAnsi" w:hAnsiTheme="majorHAnsi"/>
              <w:noProof/>
            </w:rPr>
            <w:fldChar w:fldCharType="separate"/>
          </w:r>
          <w:r w:rsidR="00976E7C">
            <w:rPr>
              <w:rFonts w:asciiTheme="majorHAnsi" w:hAnsiTheme="majorHAnsi"/>
              <w:noProof/>
            </w:rPr>
            <w:t>4</w:t>
          </w:r>
          <w:r w:rsidRPr="00C72A9E">
            <w:rPr>
              <w:rFonts w:asciiTheme="majorHAnsi" w:hAnsiTheme="majorHAnsi"/>
              <w:noProof/>
            </w:rPr>
            <w:fldChar w:fldCharType="end"/>
          </w:r>
        </w:p>
        <w:p w14:paraId="7300158D" w14:textId="77777777" w:rsidR="00C72A9E" w:rsidRPr="00C72A9E" w:rsidRDefault="00C72A9E" w:rsidP="00C72A9E">
          <w:pPr>
            <w:pStyle w:val="TOC1"/>
            <w:tabs>
              <w:tab w:val="right" w:leader="dot" w:pos="8290"/>
            </w:tabs>
            <w:spacing w:line="480" w:lineRule="auto"/>
            <w:rPr>
              <w:rFonts w:asciiTheme="majorHAnsi" w:hAnsiTheme="majorHAnsi"/>
              <w:b w:val="0"/>
              <w:noProof/>
              <w:lang w:eastAsia="ja-JP"/>
            </w:rPr>
          </w:pPr>
          <w:r w:rsidRPr="00C72A9E">
            <w:rPr>
              <w:rFonts w:asciiTheme="majorHAnsi" w:hAnsiTheme="majorHAnsi"/>
              <w:noProof/>
            </w:rPr>
            <w:t>References</w:t>
          </w:r>
          <w:r w:rsidRPr="00C72A9E">
            <w:rPr>
              <w:rFonts w:asciiTheme="majorHAnsi" w:hAnsiTheme="majorHAnsi"/>
              <w:noProof/>
            </w:rPr>
            <w:tab/>
          </w:r>
          <w:r w:rsidRPr="00C72A9E">
            <w:rPr>
              <w:rFonts w:asciiTheme="majorHAnsi" w:hAnsiTheme="majorHAnsi"/>
              <w:noProof/>
            </w:rPr>
            <w:fldChar w:fldCharType="begin"/>
          </w:r>
          <w:r w:rsidRPr="00C72A9E">
            <w:rPr>
              <w:rFonts w:asciiTheme="majorHAnsi" w:hAnsiTheme="majorHAnsi"/>
              <w:noProof/>
            </w:rPr>
            <w:instrText xml:space="preserve"> PAGEREF _Toc394484437 \h </w:instrText>
          </w:r>
          <w:r w:rsidRPr="00C72A9E">
            <w:rPr>
              <w:rFonts w:asciiTheme="majorHAnsi" w:hAnsiTheme="majorHAnsi"/>
              <w:noProof/>
            </w:rPr>
          </w:r>
          <w:r w:rsidRPr="00C72A9E">
            <w:rPr>
              <w:rFonts w:asciiTheme="majorHAnsi" w:hAnsiTheme="majorHAnsi"/>
              <w:noProof/>
            </w:rPr>
            <w:fldChar w:fldCharType="separate"/>
          </w:r>
          <w:r w:rsidR="00976E7C">
            <w:rPr>
              <w:rFonts w:asciiTheme="majorHAnsi" w:hAnsiTheme="majorHAnsi"/>
              <w:noProof/>
            </w:rPr>
            <w:t>5</w:t>
          </w:r>
          <w:r w:rsidRPr="00C72A9E">
            <w:rPr>
              <w:rFonts w:asciiTheme="majorHAnsi" w:hAnsiTheme="majorHAnsi"/>
              <w:noProof/>
            </w:rPr>
            <w:fldChar w:fldCharType="end"/>
          </w:r>
        </w:p>
        <w:p w14:paraId="6547B755" w14:textId="77777777" w:rsidR="00C72A9E" w:rsidRPr="00C72A9E" w:rsidRDefault="00C72A9E" w:rsidP="00C72A9E">
          <w:pPr>
            <w:pStyle w:val="TOC1"/>
            <w:tabs>
              <w:tab w:val="right" w:leader="dot" w:pos="8290"/>
            </w:tabs>
            <w:spacing w:line="480" w:lineRule="auto"/>
            <w:rPr>
              <w:rFonts w:asciiTheme="majorHAnsi" w:hAnsiTheme="majorHAnsi"/>
              <w:b w:val="0"/>
              <w:noProof/>
              <w:lang w:eastAsia="ja-JP"/>
            </w:rPr>
          </w:pPr>
          <w:r w:rsidRPr="00C72A9E">
            <w:rPr>
              <w:rFonts w:asciiTheme="majorHAnsi" w:hAnsiTheme="majorHAnsi"/>
              <w:noProof/>
            </w:rPr>
            <w:t>Appendix</w:t>
          </w:r>
          <w:r w:rsidRPr="00C72A9E">
            <w:rPr>
              <w:rFonts w:asciiTheme="majorHAnsi" w:hAnsiTheme="majorHAnsi"/>
              <w:noProof/>
            </w:rPr>
            <w:tab/>
          </w:r>
          <w:r w:rsidRPr="00C72A9E">
            <w:rPr>
              <w:rFonts w:asciiTheme="majorHAnsi" w:hAnsiTheme="majorHAnsi"/>
              <w:noProof/>
            </w:rPr>
            <w:fldChar w:fldCharType="begin"/>
          </w:r>
          <w:r w:rsidRPr="00C72A9E">
            <w:rPr>
              <w:rFonts w:asciiTheme="majorHAnsi" w:hAnsiTheme="majorHAnsi"/>
              <w:noProof/>
            </w:rPr>
            <w:instrText xml:space="preserve"> PAGEREF _Toc394484438 \h </w:instrText>
          </w:r>
          <w:r w:rsidRPr="00C72A9E">
            <w:rPr>
              <w:rFonts w:asciiTheme="majorHAnsi" w:hAnsiTheme="majorHAnsi"/>
              <w:noProof/>
            </w:rPr>
          </w:r>
          <w:r w:rsidRPr="00C72A9E">
            <w:rPr>
              <w:rFonts w:asciiTheme="majorHAnsi" w:hAnsiTheme="majorHAnsi"/>
              <w:noProof/>
            </w:rPr>
            <w:fldChar w:fldCharType="separate"/>
          </w:r>
          <w:r w:rsidR="00976E7C">
            <w:rPr>
              <w:rFonts w:asciiTheme="majorHAnsi" w:hAnsiTheme="majorHAnsi"/>
              <w:noProof/>
            </w:rPr>
            <w:t>7</w:t>
          </w:r>
          <w:r w:rsidRPr="00C72A9E">
            <w:rPr>
              <w:rFonts w:asciiTheme="majorHAnsi" w:hAnsiTheme="majorHAnsi"/>
              <w:noProof/>
            </w:rPr>
            <w:fldChar w:fldCharType="end"/>
          </w:r>
        </w:p>
        <w:p w14:paraId="0B51347D"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1.</w:t>
          </w:r>
          <w:r w:rsidRPr="00C72A9E">
            <w:rPr>
              <w:rFonts w:asciiTheme="majorHAnsi" w:hAnsiTheme="majorHAnsi"/>
              <w:b w:val="0"/>
              <w:noProof/>
              <w:sz w:val="24"/>
              <w:szCs w:val="24"/>
              <w:lang w:eastAsia="ja-JP"/>
            </w:rPr>
            <w:tab/>
          </w:r>
          <w:r w:rsidRPr="00C72A9E">
            <w:rPr>
              <w:rFonts w:asciiTheme="majorHAnsi" w:hAnsiTheme="majorHAnsi"/>
              <w:b w:val="0"/>
              <w:noProof/>
            </w:rPr>
            <w:t>Inflation</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_Toc394484439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7</w:t>
          </w:r>
          <w:r w:rsidRPr="00C72A9E">
            <w:rPr>
              <w:rFonts w:asciiTheme="majorHAnsi" w:hAnsiTheme="majorHAnsi"/>
              <w:b w:val="0"/>
              <w:noProof/>
            </w:rPr>
            <w:fldChar w:fldCharType="end"/>
          </w:r>
        </w:p>
        <w:p w14:paraId="45575582"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2.</w:t>
          </w:r>
          <w:r w:rsidRPr="00C72A9E">
            <w:rPr>
              <w:rFonts w:asciiTheme="majorHAnsi" w:hAnsiTheme="majorHAnsi"/>
              <w:b w:val="0"/>
              <w:noProof/>
              <w:sz w:val="24"/>
              <w:szCs w:val="24"/>
              <w:lang w:eastAsia="ja-JP"/>
            </w:rPr>
            <w:tab/>
          </w:r>
          <w:r w:rsidRPr="00C72A9E">
            <w:rPr>
              <w:rFonts w:asciiTheme="majorHAnsi" w:hAnsiTheme="majorHAnsi"/>
              <w:b w:val="0"/>
              <w:noProof/>
            </w:rPr>
            <w:t>Cash</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_Toc394484440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8</w:t>
          </w:r>
          <w:r w:rsidRPr="00C72A9E">
            <w:rPr>
              <w:rFonts w:asciiTheme="majorHAnsi" w:hAnsiTheme="majorHAnsi"/>
              <w:b w:val="0"/>
              <w:noProof/>
            </w:rPr>
            <w:fldChar w:fldCharType="end"/>
          </w:r>
        </w:p>
        <w:p w14:paraId="42783B9C"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3.</w:t>
          </w:r>
          <w:r w:rsidRPr="00C72A9E">
            <w:rPr>
              <w:rFonts w:asciiTheme="majorHAnsi" w:hAnsiTheme="majorHAnsi"/>
              <w:b w:val="0"/>
              <w:noProof/>
              <w:sz w:val="24"/>
              <w:szCs w:val="24"/>
              <w:lang w:eastAsia="ja-JP"/>
            </w:rPr>
            <w:tab/>
          </w:r>
          <w:r w:rsidRPr="00C72A9E">
            <w:rPr>
              <w:rFonts w:asciiTheme="majorHAnsi" w:hAnsiTheme="majorHAnsi"/>
              <w:b w:val="0"/>
              <w:noProof/>
            </w:rPr>
            <w:t>Asset Class Projections</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_Toc394484441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9</w:t>
          </w:r>
          <w:r w:rsidRPr="00C72A9E">
            <w:rPr>
              <w:rFonts w:asciiTheme="majorHAnsi" w:hAnsiTheme="majorHAnsi"/>
              <w:b w:val="0"/>
              <w:noProof/>
            </w:rPr>
            <w:fldChar w:fldCharType="end"/>
          </w:r>
        </w:p>
        <w:p w14:paraId="1993B248"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4.</w:t>
          </w:r>
          <w:r w:rsidRPr="00C72A9E">
            <w:rPr>
              <w:rFonts w:asciiTheme="majorHAnsi" w:hAnsiTheme="majorHAnsi"/>
              <w:b w:val="0"/>
              <w:noProof/>
              <w:sz w:val="24"/>
              <w:szCs w:val="24"/>
              <w:lang w:eastAsia="ja-JP"/>
            </w:rPr>
            <w:tab/>
          </w:r>
          <w:r w:rsidRPr="00C72A9E">
            <w:rPr>
              <w:rFonts w:asciiTheme="majorHAnsi" w:hAnsiTheme="majorHAnsi"/>
              <w:b w:val="0"/>
              <w:noProof/>
            </w:rPr>
            <w:t>Portfolio Return Projections</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_Toc394484442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11</w:t>
          </w:r>
          <w:r w:rsidRPr="00C72A9E">
            <w:rPr>
              <w:rFonts w:asciiTheme="majorHAnsi" w:hAnsiTheme="majorHAnsi"/>
              <w:b w:val="0"/>
              <w:noProof/>
            </w:rPr>
            <w:fldChar w:fldCharType="end"/>
          </w:r>
        </w:p>
        <w:p w14:paraId="522B2921"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5.</w:t>
          </w:r>
          <w:r w:rsidRPr="00C72A9E">
            <w:rPr>
              <w:rFonts w:asciiTheme="majorHAnsi" w:hAnsiTheme="majorHAnsi"/>
              <w:b w:val="0"/>
              <w:noProof/>
              <w:sz w:val="24"/>
              <w:szCs w:val="24"/>
              <w:lang w:eastAsia="ja-JP"/>
            </w:rPr>
            <w:tab/>
          </w:r>
          <w:r w:rsidRPr="00C72A9E">
            <w:rPr>
              <w:rFonts w:asciiTheme="majorHAnsi" w:hAnsiTheme="majorHAnsi"/>
              <w:b w:val="0"/>
              <w:noProof/>
            </w:rPr>
            <w:t>Life Expectancy</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_Toc394484443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12</w:t>
          </w:r>
          <w:r w:rsidRPr="00C72A9E">
            <w:rPr>
              <w:rFonts w:asciiTheme="majorHAnsi" w:hAnsiTheme="majorHAnsi"/>
              <w:b w:val="0"/>
              <w:noProof/>
            </w:rPr>
            <w:fldChar w:fldCharType="end"/>
          </w:r>
        </w:p>
        <w:p w14:paraId="5CD5C0EF"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6.</w:t>
          </w:r>
          <w:r w:rsidRPr="00C72A9E">
            <w:rPr>
              <w:rFonts w:asciiTheme="majorHAnsi" w:hAnsiTheme="majorHAnsi"/>
              <w:b w:val="0"/>
              <w:noProof/>
              <w:sz w:val="24"/>
              <w:szCs w:val="24"/>
              <w:lang w:eastAsia="ja-JP"/>
            </w:rPr>
            <w:tab/>
          </w:r>
          <w:r w:rsidRPr="00C72A9E">
            <w:rPr>
              <w:rFonts w:asciiTheme="majorHAnsi" w:hAnsiTheme="majorHAnsi"/>
              <w:b w:val="0"/>
              <w:noProof/>
            </w:rPr>
            <w:t>Property</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_Toc394484444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16</w:t>
          </w:r>
          <w:r w:rsidRPr="00C72A9E">
            <w:rPr>
              <w:rFonts w:asciiTheme="majorHAnsi" w:hAnsiTheme="majorHAnsi"/>
              <w:b w:val="0"/>
              <w:noProof/>
            </w:rPr>
            <w:fldChar w:fldCharType="end"/>
          </w:r>
        </w:p>
        <w:p w14:paraId="0F578AE3"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7.</w:t>
          </w:r>
          <w:r w:rsidRPr="00C72A9E">
            <w:rPr>
              <w:rFonts w:asciiTheme="majorHAnsi" w:hAnsiTheme="majorHAnsi"/>
              <w:b w:val="0"/>
              <w:noProof/>
              <w:sz w:val="24"/>
              <w:szCs w:val="24"/>
              <w:lang w:eastAsia="ja-JP"/>
            </w:rPr>
            <w:tab/>
          </w:r>
          <w:r w:rsidRPr="00C72A9E">
            <w:rPr>
              <w:rFonts w:asciiTheme="majorHAnsi" w:hAnsiTheme="majorHAnsi"/>
              <w:b w:val="0"/>
              <w:noProof/>
            </w:rPr>
            <w:t>Average Earnings</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_Toc394484445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21</w:t>
          </w:r>
          <w:r w:rsidRPr="00C72A9E">
            <w:rPr>
              <w:rFonts w:asciiTheme="majorHAnsi" w:hAnsiTheme="majorHAnsi"/>
              <w:b w:val="0"/>
              <w:noProof/>
            </w:rPr>
            <w:fldChar w:fldCharType="end"/>
          </w:r>
        </w:p>
        <w:p w14:paraId="2C77D5D2"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8.</w:t>
          </w:r>
          <w:r w:rsidRPr="00C72A9E">
            <w:rPr>
              <w:rFonts w:asciiTheme="majorHAnsi" w:hAnsiTheme="majorHAnsi"/>
              <w:b w:val="0"/>
              <w:noProof/>
              <w:sz w:val="24"/>
              <w:szCs w:val="24"/>
              <w:lang w:eastAsia="ja-JP"/>
            </w:rPr>
            <w:tab/>
          </w:r>
          <w:r w:rsidRPr="00C72A9E">
            <w:rPr>
              <w:rFonts w:asciiTheme="majorHAnsi" w:hAnsiTheme="majorHAnsi"/>
              <w:b w:val="0"/>
              <w:noProof/>
            </w:rPr>
            <w:t>Tax Allowances (Core)</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_Toc394484446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22</w:t>
          </w:r>
          <w:r w:rsidRPr="00C72A9E">
            <w:rPr>
              <w:rFonts w:asciiTheme="majorHAnsi" w:hAnsiTheme="majorHAnsi"/>
              <w:b w:val="0"/>
              <w:noProof/>
            </w:rPr>
            <w:fldChar w:fldCharType="end"/>
          </w:r>
        </w:p>
        <w:p w14:paraId="0C52AB57" w14:textId="77777777" w:rsidR="00C72A9E" w:rsidRPr="00C72A9E" w:rsidRDefault="00C72A9E" w:rsidP="00C72A9E">
          <w:pPr>
            <w:pStyle w:val="TOC2"/>
            <w:tabs>
              <w:tab w:val="left" w:pos="661"/>
              <w:tab w:val="right" w:leader="dot" w:pos="8290"/>
            </w:tabs>
            <w:spacing w:line="480" w:lineRule="auto"/>
            <w:rPr>
              <w:rFonts w:asciiTheme="majorHAnsi" w:hAnsiTheme="majorHAnsi"/>
              <w:b w:val="0"/>
              <w:noProof/>
              <w:sz w:val="24"/>
              <w:szCs w:val="24"/>
              <w:lang w:eastAsia="ja-JP"/>
            </w:rPr>
          </w:pPr>
          <w:r w:rsidRPr="00C72A9E">
            <w:rPr>
              <w:rFonts w:asciiTheme="majorHAnsi" w:hAnsiTheme="majorHAnsi"/>
              <w:b w:val="0"/>
              <w:noProof/>
            </w:rPr>
            <w:t>9.</w:t>
          </w:r>
          <w:r w:rsidRPr="00C72A9E">
            <w:rPr>
              <w:rFonts w:asciiTheme="majorHAnsi" w:hAnsiTheme="majorHAnsi"/>
              <w:b w:val="0"/>
              <w:noProof/>
              <w:sz w:val="24"/>
              <w:szCs w:val="24"/>
              <w:lang w:eastAsia="ja-JP"/>
            </w:rPr>
            <w:tab/>
          </w:r>
          <w:r w:rsidRPr="00C72A9E">
            <w:rPr>
              <w:rFonts w:asciiTheme="majorHAnsi" w:hAnsiTheme="majorHAnsi"/>
              <w:b w:val="0"/>
              <w:noProof/>
            </w:rPr>
            <w:t>Tax Allowances (Other)</w:t>
          </w:r>
          <w:r w:rsidRPr="00C72A9E">
            <w:rPr>
              <w:rFonts w:asciiTheme="majorHAnsi" w:hAnsiTheme="majorHAnsi"/>
              <w:b w:val="0"/>
              <w:noProof/>
            </w:rPr>
            <w:tab/>
          </w:r>
          <w:r w:rsidRPr="00C72A9E">
            <w:rPr>
              <w:rFonts w:asciiTheme="majorHAnsi" w:hAnsiTheme="majorHAnsi"/>
              <w:b w:val="0"/>
              <w:noProof/>
            </w:rPr>
            <w:fldChar w:fldCharType="begin"/>
          </w:r>
          <w:r w:rsidRPr="00C72A9E">
            <w:rPr>
              <w:rFonts w:asciiTheme="majorHAnsi" w:hAnsiTheme="majorHAnsi"/>
              <w:b w:val="0"/>
              <w:noProof/>
            </w:rPr>
            <w:instrText xml:space="preserve"> PAGEREF _Toc394484447 \h </w:instrText>
          </w:r>
          <w:r w:rsidRPr="00C72A9E">
            <w:rPr>
              <w:rFonts w:asciiTheme="majorHAnsi" w:hAnsiTheme="majorHAnsi"/>
              <w:b w:val="0"/>
              <w:noProof/>
            </w:rPr>
          </w:r>
          <w:r w:rsidRPr="00C72A9E">
            <w:rPr>
              <w:rFonts w:asciiTheme="majorHAnsi" w:hAnsiTheme="majorHAnsi"/>
              <w:b w:val="0"/>
              <w:noProof/>
            </w:rPr>
            <w:fldChar w:fldCharType="separate"/>
          </w:r>
          <w:r w:rsidR="00976E7C">
            <w:rPr>
              <w:rFonts w:asciiTheme="majorHAnsi" w:hAnsiTheme="majorHAnsi"/>
              <w:b w:val="0"/>
              <w:noProof/>
            </w:rPr>
            <w:t>25</w:t>
          </w:r>
          <w:r w:rsidRPr="00C72A9E">
            <w:rPr>
              <w:rFonts w:asciiTheme="majorHAnsi" w:hAnsiTheme="majorHAnsi"/>
              <w:b w:val="0"/>
              <w:noProof/>
            </w:rPr>
            <w:fldChar w:fldCharType="end"/>
          </w:r>
        </w:p>
        <w:p w14:paraId="4D4C0709" w14:textId="46029ECC" w:rsidR="002D7D81" w:rsidRDefault="002D7D81" w:rsidP="00C72A9E">
          <w:pPr>
            <w:spacing w:line="480" w:lineRule="auto"/>
          </w:pPr>
          <w:r w:rsidRPr="00C72A9E">
            <w:rPr>
              <w:rFonts w:asciiTheme="majorHAnsi" w:hAnsiTheme="majorHAnsi"/>
              <w:b/>
              <w:bCs/>
              <w:noProof/>
            </w:rPr>
            <w:fldChar w:fldCharType="end"/>
          </w:r>
        </w:p>
      </w:sdtContent>
    </w:sdt>
    <w:p w14:paraId="77951A89" w14:textId="77777777" w:rsidR="002D7D81" w:rsidRDefault="002D7D81">
      <w:pPr>
        <w:rPr>
          <w:rFonts w:asciiTheme="majorHAnsi" w:eastAsiaTheme="majorEastAsia" w:hAnsiTheme="majorHAnsi" w:cstheme="majorBidi"/>
          <w:b/>
          <w:bCs/>
          <w:sz w:val="26"/>
          <w:szCs w:val="26"/>
        </w:rPr>
      </w:pPr>
      <w:r>
        <w:br w:type="page"/>
      </w:r>
    </w:p>
    <w:p w14:paraId="05F512C4" w14:textId="766B851C" w:rsidR="007C2366" w:rsidRPr="00E26467" w:rsidRDefault="002D7D81" w:rsidP="00E26467">
      <w:pPr>
        <w:pStyle w:val="Heading1"/>
      </w:pPr>
      <w:bookmarkStart w:id="0" w:name="_Toc394484434"/>
      <w:r>
        <w:lastRenderedPageBreak/>
        <w:t xml:space="preserve">Capital Market </w:t>
      </w:r>
      <w:r w:rsidR="00BF431C" w:rsidRPr="00992EF8">
        <w:t>Assumptions</w:t>
      </w:r>
      <w:bookmarkEnd w:id="0"/>
    </w:p>
    <w:tbl>
      <w:tblPr>
        <w:tblStyle w:val="TableGrid"/>
        <w:tblW w:w="0" w:type="auto"/>
        <w:tblLook w:val="04A0" w:firstRow="1" w:lastRow="0" w:firstColumn="1" w:lastColumn="0" w:noHBand="0" w:noVBand="1"/>
      </w:tblPr>
      <w:tblGrid>
        <w:gridCol w:w="1743"/>
        <w:gridCol w:w="2901"/>
        <w:gridCol w:w="2410"/>
        <w:gridCol w:w="1462"/>
      </w:tblGrid>
      <w:tr w:rsidR="00E26467" w:rsidRPr="00992EF8" w14:paraId="14396077" w14:textId="77777777" w:rsidTr="00E26467">
        <w:tc>
          <w:tcPr>
            <w:tcW w:w="1743" w:type="dxa"/>
          </w:tcPr>
          <w:p w14:paraId="1D5B866B" w14:textId="6A5C6E0D" w:rsidR="00E26467" w:rsidRPr="00992EF8" w:rsidRDefault="00E26467" w:rsidP="00B01D35">
            <w:pPr>
              <w:rPr>
                <w:rFonts w:asciiTheme="majorHAnsi" w:hAnsiTheme="majorHAnsi"/>
                <w:b/>
                <w:sz w:val="22"/>
                <w:szCs w:val="22"/>
              </w:rPr>
            </w:pPr>
            <w:r>
              <w:rPr>
                <w:rFonts w:asciiTheme="majorHAnsi" w:hAnsiTheme="majorHAnsi"/>
                <w:b/>
                <w:sz w:val="22"/>
                <w:szCs w:val="22"/>
              </w:rPr>
              <w:t>Category</w:t>
            </w:r>
          </w:p>
        </w:tc>
        <w:tc>
          <w:tcPr>
            <w:tcW w:w="2901" w:type="dxa"/>
            <w:vAlign w:val="center"/>
          </w:tcPr>
          <w:p w14:paraId="4414EFA0" w14:textId="76A0BCCE" w:rsidR="00E26467" w:rsidRPr="00992EF8" w:rsidRDefault="00E26467" w:rsidP="00B01D35">
            <w:pPr>
              <w:rPr>
                <w:rFonts w:asciiTheme="majorHAnsi" w:hAnsiTheme="majorHAnsi"/>
                <w:b/>
                <w:sz w:val="22"/>
                <w:szCs w:val="22"/>
              </w:rPr>
            </w:pPr>
            <w:r>
              <w:rPr>
                <w:rFonts w:asciiTheme="majorHAnsi" w:hAnsiTheme="majorHAnsi"/>
                <w:b/>
                <w:sz w:val="22"/>
                <w:szCs w:val="22"/>
              </w:rPr>
              <w:t>Indicator</w:t>
            </w:r>
          </w:p>
        </w:tc>
        <w:tc>
          <w:tcPr>
            <w:tcW w:w="2410" w:type="dxa"/>
            <w:vAlign w:val="center"/>
          </w:tcPr>
          <w:p w14:paraId="7239A7EF" w14:textId="1525CBA8" w:rsidR="00E26467" w:rsidRPr="00992EF8" w:rsidRDefault="00E26467" w:rsidP="00B01D35">
            <w:pPr>
              <w:rPr>
                <w:rFonts w:asciiTheme="majorHAnsi" w:hAnsiTheme="majorHAnsi"/>
                <w:b/>
                <w:sz w:val="22"/>
                <w:szCs w:val="22"/>
              </w:rPr>
            </w:pPr>
            <w:r w:rsidRPr="00992EF8">
              <w:rPr>
                <w:rFonts w:asciiTheme="majorHAnsi" w:hAnsiTheme="majorHAnsi"/>
                <w:b/>
                <w:sz w:val="22"/>
                <w:szCs w:val="22"/>
              </w:rPr>
              <w:t>Default Assumption*</w:t>
            </w:r>
          </w:p>
        </w:tc>
        <w:tc>
          <w:tcPr>
            <w:tcW w:w="1462" w:type="dxa"/>
            <w:vAlign w:val="center"/>
          </w:tcPr>
          <w:p w14:paraId="28EC81B9" w14:textId="2C52B13A" w:rsidR="00E26467" w:rsidRPr="00992EF8" w:rsidRDefault="00E26467" w:rsidP="00B01D35">
            <w:pPr>
              <w:rPr>
                <w:rFonts w:asciiTheme="majorHAnsi" w:hAnsiTheme="majorHAnsi"/>
                <w:b/>
                <w:sz w:val="22"/>
                <w:szCs w:val="22"/>
              </w:rPr>
            </w:pPr>
            <w:r w:rsidRPr="00992EF8">
              <w:rPr>
                <w:rFonts w:asciiTheme="majorHAnsi" w:hAnsiTheme="majorHAnsi"/>
                <w:b/>
                <w:sz w:val="22"/>
                <w:szCs w:val="22"/>
              </w:rPr>
              <w:t>Rationale</w:t>
            </w:r>
          </w:p>
        </w:tc>
      </w:tr>
      <w:tr w:rsidR="00E26467" w:rsidRPr="00992EF8" w14:paraId="451E687E" w14:textId="77777777" w:rsidTr="00E26467">
        <w:tc>
          <w:tcPr>
            <w:tcW w:w="1743" w:type="dxa"/>
            <w:vMerge w:val="restart"/>
            <w:vAlign w:val="center"/>
          </w:tcPr>
          <w:p w14:paraId="55615A48" w14:textId="4BA122DE" w:rsidR="00E26467" w:rsidRPr="00E26467" w:rsidRDefault="00E26467" w:rsidP="00E26467">
            <w:pPr>
              <w:rPr>
                <w:rFonts w:asciiTheme="majorHAnsi" w:hAnsiTheme="majorHAnsi"/>
                <w:sz w:val="20"/>
                <w:szCs w:val="20"/>
              </w:rPr>
            </w:pPr>
            <w:r w:rsidRPr="00E26467">
              <w:rPr>
                <w:rFonts w:asciiTheme="majorHAnsi" w:hAnsiTheme="majorHAnsi"/>
                <w:sz w:val="20"/>
                <w:szCs w:val="20"/>
              </w:rPr>
              <w:t>Asset Class Projections</w:t>
            </w:r>
          </w:p>
        </w:tc>
        <w:tc>
          <w:tcPr>
            <w:tcW w:w="2901" w:type="dxa"/>
            <w:vAlign w:val="center"/>
          </w:tcPr>
          <w:p w14:paraId="3D11D43B" w14:textId="5B4085FE" w:rsidR="00E26467" w:rsidRPr="00E26467" w:rsidRDefault="00E26467" w:rsidP="00B01D35">
            <w:pPr>
              <w:rPr>
                <w:rFonts w:asciiTheme="majorHAnsi" w:hAnsiTheme="majorHAnsi"/>
                <w:sz w:val="20"/>
                <w:szCs w:val="20"/>
              </w:rPr>
            </w:pPr>
            <w:r w:rsidRPr="00E26467">
              <w:rPr>
                <w:rFonts w:asciiTheme="majorHAnsi" w:hAnsiTheme="majorHAnsi"/>
                <w:sz w:val="20"/>
                <w:szCs w:val="20"/>
              </w:rPr>
              <w:t>Inflation</w:t>
            </w:r>
          </w:p>
        </w:tc>
        <w:tc>
          <w:tcPr>
            <w:tcW w:w="2410" w:type="dxa"/>
            <w:vAlign w:val="center"/>
          </w:tcPr>
          <w:p w14:paraId="2A0CB719" w14:textId="405B4DDE" w:rsidR="00E26467" w:rsidRPr="007008A8" w:rsidRDefault="00E26467" w:rsidP="00B01D35">
            <w:pPr>
              <w:rPr>
                <w:rFonts w:asciiTheme="majorHAnsi" w:hAnsiTheme="majorHAnsi"/>
                <w:color w:val="00B050"/>
                <w:sz w:val="20"/>
                <w:szCs w:val="20"/>
              </w:rPr>
            </w:pPr>
            <w:r w:rsidRPr="007008A8">
              <w:rPr>
                <w:rFonts w:asciiTheme="majorHAnsi" w:hAnsiTheme="majorHAnsi"/>
                <w:color w:val="00B050"/>
                <w:sz w:val="20"/>
                <w:szCs w:val="20"/>
              </w:rPr>
              <w:t>CPI – 2.00%</w:t>
            </w:r>
          </w:p>
          <w:p w14:paraId="41C3817C" w14:textId="77777777" w:rsidR="00E26467" w:rsidRPr="007008A8" w:rsidRDefault="00E26467" w:rsidP="00B01D35">
            <w:pPr>
              <w:rPr>
                <w:rFonts w:asciiTheme="majorHAnsi" w:hAnsiTheme="majorHAnsi"/>
                <w:color w:val="00B050"/>
                <w:sz w:val="20"/>
                <w:szCs w:val="20"/>
              </w:rPr>
            </w:pPr>
            <w:r w:rsidRPr="007008A8">
              <w:rPr>
                <w:rFonts w:asciiTheme="majorHAnsi" w:hAnsiTheme="majorHAnsi"/>
                <w:color w:val="00B050"/>
                <w:sz w:val="20"/>
                <w:szCs w:val="20"/>
              </w:rPr>
              <w:t>RPI – 2.80%</w:t>
            </w:r>
          </w:p>
          <w:p w14:paraId="7007BB0A" w14:textId="5674A31A" w:rsidR="00E26467" w:rsidRPr="00E26467" w:rsidRDefault="00E26467" w:rsidP="00B01D35">
            <w:pPr>
              <w:rPr>
                <w:rFonts w:asciiTheme="majorHAnsi" w:hAnsiTheme="majorHAnsi"/>
                <w:sz w:val="20"/>
                <w:szCs w:val="20"/>
              </w:rPr>
            </w:pPr>
            <w:r w:rsidRPr="007008A8">
              <w:rPr>
                <w:rFonts w:asciiTheme="majorHAnsi" w:hAnsiTheme="majorHAnsi"/>
                <w:color w:val="00B050"/>
                <w:sz w:val="20"/>
                <w:szCs w:val="20"/>
              </w:rPr>
              <w:t>Default – 2.80%</w:t>
            </w:r>
          </w:p>
        </w:tc>
        <w:tc>
          <w:tcPr>
            <w:tcW w:w="1462" w:type="dxa"/>
            <w:vMerge w:val="restart"/>
            <w:vAlign w:val="center"/>
          </w:tcPr>
          <w:p w14:paraId="739F6624" w14:textId="497C9875" w:rsidR="00E26467" w:rsidRPr="00E26467" w:rsidRDefault="00E26467" w:rsidP="00992EF8">
            <w:pPr>
              <w:rPr>
                <w:rFonts w:asciiTheme="majorHAnsi" w:hAnsiTheme="majorHAnsi"/>
                <w:sz w:val="20"/>
                <w:szCs w:val="20"/>
              </w:rPr>
            </w:pPr>
            <w:r w:rsidRPr="00E26467">
              <w:rPr>
                <w:rFonts w:asciiTheme="majorHAnsi" w:hAnsiTheme="majorHAnsi"/>
                <w:sz w:val="20"/>
                <w:szCs w:val="20"/>
              </w:rPr>
              <w:t>See Appendix.</w:t>
            </w:r>
          </w:p>
        </w:tc>
      </w:tr>
      <w:tr w:rsidR="00E26467" w:rsidRPr="00992EF8" w14:paraId="6869162A" w14:textId="77777777" w:rsidTr="00E26467">
        <w:tc>
          <w:tcPr>
            <w:tcW w:w="1743" w:type="dxa"/>
            <w:vMerge/>
            <w:vAlign w:val="center"/>
          </w:tcPr>
          <w:p w14:paraId="05DF722A" w14:textId="77777777" w:rsidR="00E26467" w:rsidRPr="00E26467" w:rsidRDefault="00E26467" w:rsidP="00E26467">
            <w:pPr>
              <w:rPr>
                <w:rFonts w:asciiTheme="majorHAnsi" w:hAnsiTheme="majorHAnsi"/>
                <w:sz w:val="20"/>
                <w:szCs w:val="20"/>
              </w:rPr>
            </w:pPr>
          </w:p>
        </w:tc>
        <w:tc>
          <w:tcPr>
            <w:tcW w:w="2901" w:type="dxa"/>
            <w:vAlign w:val="center"/>
          </w:tcPr>
          <w:p w14:paraId="49FDE4A5" w14:textId="12D16369" w:rsidR="00E26467" w:rsidRPr="00E26467" w:rsidRDefault="00E26467" w:rsidP="00B01D35">
            <w:pPr>
              <w:rPr>
                <w:rFonts w:asciiTheme="majorHAnsi" w:hAnsiTheme="majorHAnsi"/>
                <w:sz w:val="20"/>
                <w:szCs w:val="20"/>
              </w:rPr>
            </w:pPr>
            <w:r w:rsidRPr="00E26467">
              <w:rPr>
                <w:rFonts w:asciiTheme="majorHAnsi" w:hAnsiTheme="majorHAnsi"/>
                <w:sz w:val="20"/>
                <w:szCs w:val="20"/>
              </w:rPr>
              <w:t>Cash</w:t>
            </w:r>
          </w:p>
        </w:tc>
        <w:tc>
          <w:tcPr>
            <w:tcW w:w="2410" w:type="dxa"/>
            <w:vAlign w:val="center"/>
          </w:tcPr>
          <w:p w14:paraId="2C396010" w14:textId="47F5C87A" w:rsidR="00E26467" w:rsidRPr="007008A8" w:rsidRDefault="00E26467" w:rsidP="00B01D35">
            <w:pPr>
              <w:tabs>
                <w:tab w:val="right" w:pos="2379"/>
              </w:tabs>
              <w:rPr>
                <w:rFonts w:asciiTheme="majorHAnsi" w:hAnsiTheme="majorHAnsi"/>
                <w:color w:val="00B050"/>
                <w:sz w:val="20"/>
                <w:szCs w:val="20"/>
              </w:rPr>
            </w:pPr>
            <w:r w:rsidRPr="007008A8">
              <w:rPr>
                <w:rFonts w:asciiTheme="majorHAnsi" w:hAnsiTheme="majorHAnsi"/>
                <w:color w:val="00B050"/>
                <w:sz w:val="20"/>
                <w:szCs w:val="20"/>
              </w:rPr>
              <w:t>1.50% (Nominal)</w:t>
            </w:r>
          </w:p>
        </w:tc>
        <w:tc>
          <w:tcPr>
            <w:tcW w:w="1462" w:type="dxa"/>
            <w:vMerge/>
            <w:vAlign w:val="center"/>
          </w:tcPr>
          <w:p w14:paraId="302722A6" w14:textId="57BAD4E5" w:rsidR="00E26467" w:rsidRPr="00E26467" w:rsidRDefault="00E26467" w:rsidP="00992EF8">
            <w:pPr>
              <w:rPr>
                <w:rFonts w:asciiTheme="majorHAnsi" w:hAnsiTheme="majorHAnsi"/>
                <w:sz w:val="20"/>
                <w:szCs w:val="20"/>
              </w:rPr>
            </w:pPr>
          </w:p>
        </w:tc>
      </w:tr>
      <w:tr w:rsidR="00E26467" w:rsidRPr="00992EF8" w14:paraId="58208919" w14:textId="77777777" w:rsidTr="00E26467">
        <w:tc>
          <w:tcPr>
            <w:tcW w:w="1743" w:type="dxa"/>
            <w:vMerge/>
            <w:vAlign w:val="center"/>
          </w:tcPr>
          <w:p w14:paraId="62FC35E0" w14:textId="77777777" w:rsidR="00E26467" w:rsidRPr="00E26467" w:rsidRDefault="00E26467" w:rsidP="00E26467">
            <w:pPr>
              <w:rPr>
                <w:rFonts w:asciiTheme="majorHAnsi" w:hAnsiTheme="majorHAnsi"/>
                <w:sz w:val="20"/>
                <w:szCs w:val="20"/>
              </w:rPr>
            </w:pPr>
          </w:p>
        </w:tc>
        <w:tc>
          <w:tcPr>
            <w:tcW w:w="2901" w:type="dxa"/>
            <w:vAlign w:val="center"/>
          </w:tcPr>
          <w:p w14:paraId="7DBF77C6" w14:textId="682B5F84" w:rsidR="00E26467" w:rsidRPr="00E26467" w:rsidRDefault="00E26467" w:rsidP="00B01D35">
            <w:pPr>
              <w:rPr>
                <w:rFonts w:asciiTheme="majorHAnsi" w:hAnsiTheme="majorHAnsi"/>
                <w:sz w:val="20"/>
                <w:szCs w:val="20"/>
              </w:rPr>
            </w:pPr>
            <w:r w:rsidRPr="00E26467">
              <w:rPr>
                <w:rFonts w:asciiTheme="majorHAnsi" w:hAnsiTheme="majorHAnsi"/>
                <w:sz w:val="20"/>
                <w:szCs w:val="20"/>
              </w:rPr>
              <w:t>Fixed Interest</w:t>
            </w:r>
          </w:p>
        </w:tc>
        <w:tc>
          <w:tcPr>
            <w:tcW w:w="2410" w:type="dxa"/>
            <w:vAlign w:val="center"/>
          </w:tcPr>
          <w:p w14:paraId="3562D4C7" w14:textId="1FED78E7"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3.00% (Nominal)</w:t>
            </w:r>
          </w:p>
        </w:tc>
        <w:tc>
          <w:tcPr>
            <w:tcW w:w="1462" w:type="dxa"/>
            <w:vMerge/>
            <w:vAlign w:val="center"/>
          </w:tcPr>
          <w:p w14:paraId="2B8994DC" w14:textId="19A7ECAA" w:rsidR="00E26467" w:rsidRPr="00E26467" w:rsidRDefault="00E26467" w:rsidP="00992EF8">
            <w:pPr>
              <w:rPr>
                <w:rFonts w:asciiTheme="majorHAnsi" w:hAnsiTheme="majorHAnsi"/>
                <w:sz w:val="20"/>
                <w:szCs w:val="20"/>
              </w:rPr>
            </w:pPr>
          </w:p>
        </w:tc>
      </w:tr>
      <w:tr w:rsidR="00E26467" w:rsidRPr="00992EF8" w14:paraId="296151D3" w14:textId="77777777" w:rsidTr="00E26467">
        <w:tc>
          <w:tcPr>
            <w:tcW w:w="1743" w:type="dxa"/>
            <w:vMerge/>
            <w:vAlign w:val="center"/>
          </w:tcPr>
          <w:p w14:paraId="56229E55" w14:textId="77777777" w:rsidR="00E26467" w:rsidRPr="00E26467" w:rsidRDefault="00E26467" w:rsidP="00E26467">
            <w:pPr>
              <w:rPr>
                <w:rFonts w:asciiTheme="majorHAnsi" w:hAnsiTheme="majorHAnsi"/>
                <w:sz w:val="20"/>
                <w:szCs w:val="20"/>
              </w:rPr>
            </w:pPr>
          </w:p>
        </w:tc>
        <w:tc>
          <w:tcPr>
            <w:tcW w:w="2901" w:type="dxa"/>
            <w:vAlign w:val="center"/>
          </w:tcPr>
          <w:p w14:paraId="6615DDA2" w14:textId="00ABB3F0" w:rsidR="00E26467" w:rsidRPr="00E26467" w:rsidRDefault="00E26467" w:rsidP="00B01D35">
            <w:pPr>
              <w:rPr>
                <w:rFonts w:asciiTheme="majorHAnsi" w:hAnsiTheme="majorHAnsi"/>
                <w:sz w:val="20"/>
                <w:szCs w:val="20"/>
              </w:rPr>
            </w:pPr>
            <w:r w:rsidRPr="00E26467">
              <w:rPr>
                <w:rFonts w:asciiTheme="majorHAnsi" w:hAnsiTheme="majorHAnsi"/>
                <w:sz w:val="20"/>
                <w:szCs w:val="20"/>
              </w:rPr>
              <w:t>Property Funds</w:t>
            </w:r>
          </w:p>
        </w:tc>
        <w:tc>
          <w:tcPr>
            <w:tcW w:w="2410" w:type="dxa"/>
            <w:vAlign w:val="center"/>
          </w:tcPr>
          <w:p w14:paraId="6FE487F6" w14:textId="673F5D9E"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6.00% (Nominal)</w:t>
            </w:r>
          </w:p>
        </w:tc>
        <w:tc>
          <w:tcPr>
            <w:tcW w:w="1462" w:type="dxa"/>
            <w:vMerge/>
            <w:vAlign w:val="center"/>
          </w:tcPr>
          <w:p w14:paraId="2D40C8BA" w14:textId="23C0D582" w:rsidR="00E26467" w:rsidRPr="00E26467" w:rsidRDefault="00E26467" w:rsidP="00992EF8">
            <w:pPr>
              <w:rPr>
                <w:rFonts w:asciiTheme="majorHAnsi" w:hAnsiTheme="majorHAnsi"/>
                <w:sz w:val="20"/>
                <w:szCs w:val="20"/>
              </w:rPr>
            </w:pPr>
          </w:p>
        </w:tc>
      </w:tr>
      <w:tr w:rsidR="00E26467" w:rsidRPr="00992EF8" w14:paraId="54C5D1C1" w14:textId="77777777" w:rsidTr="00E26467">
        <w:tc>
          <w:tcPr>
            <w:tcW w:w="1743" w:type="dxa"/>
            <w:vMerge/>
            <w:vAlign w:val="center"/>
          </w:tcPr>
          <w:p w14:paraId="511BE106" w14:textId="77777777" w:rsidR="00E26467" w:rsidRPr="00E26467" w:rsidRDefault="00E26467" w:rsidP="00E26467">
            <w:pPr>
              <w:rPr>
                <w:rFonts w:asciiTheme="majorHAnsi" w:hAnsiTheme="majorHAnsi"/>
                <w:sz w:val="20"/>
                <w:szCs w:val="20"/>
              </w:rPr>
            </w:pPr>
          </w:p>
        </w:tc>
        <w:tc>
          <w:tcPr>
            <w:tcW w:w="2901" w:type="dxa"/>
            <w:vAlign w:val="center"/>
          </w:tcPr>
          <w:p w14:paraId="6DF717AB" w14:textId="0920F9CD" w:rsidR="00E26467" w:rsidRPr="00E26467" w:rsidRDefault="00E26467" w:rsidP="00B01D35">
            <w:pPr>
              <w:rPr>
                <w:rFonts w:asciiTheme="majorHAnsi" w:hAnsiTheme="majorHAnsi"/>
                <w:sz w:val="20"/>
                <w:szCs w:val="20"/>
              </w:rPr>
            </w:pPr>
            <w:r w:rsidRPr="00E26467">
              <w:rPr>
                <w:rFonts w:asciiTheme="majorHAnsi" w:hAnsiTheme="majorHAnsi"/>
                <w:sz w:val="20"/>
                <w:szCs w:val="20"/>
              </w:rPr>
              <w:t>UK Equities</w:t>
            </w:r>
          </w:p>
        </w:tc>
        <w:tc>
          <w:tcPr>
            <w:tcW w:w="2410" w:type="dxa"/>
            <w:vAlign w:val="center"/>
          </w:tcPr>
          <w:p w14:paraId="3B53E2AC" w14:textId="7443F2D5"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6.25% (Nominal)</w:t>
            </w:r>
          </w:p>
        </w:tc>
        <w:tc>
          <w:tcPr>
            <w:tcW w:w="1462" w:type="dxa"/>
            <w:vMerge/>
            <w:vAlign w:val="center"/>
          </w:tcPr>
          <w:p w14:paraId="1C2BBB86" w14:textId="01642DC0" w:rsidR="00E26467" w:rsidRPr="00E26467" w:rsidRDefault="00E26467" w:rsidP="00992EF8">
            <w:pPr>
              <w:rPr>
                <w:rFonts w:asciiTheme="majorHAnsi" w:hAnsiTheme="majorHAnsi"/>
                <w:sz w:val="20"/>
                <w:szCs w:val="20"/>
              </w:rPr>
            </w:pPr>
          </w:p>
        </w:tc>
      </w:tr>
      <w:tr w:rsidR="00E26467" w:rsidRPr="00992EF8" w14:paraId="24451A60" w14:textId="77777777" w:rsidTr="00E26467">
        <w:tc>
          <w:tcPr>
            <w:tcW w:w="1743" w:type="dxa"/>
            <w:vMerge/>
            <w:vAlign w:val="center"/>
          </w:tcPr>
          <w:p w14:paraId="1C5EFC8F" w14:textId="77777777" w:rsidR="00E26467" w:rsidRPr="00E26467" w:rsidRDefault="00E26467" w:rsidP="00E26467">
            <w:pPr>
              <w:rPr>
                <w:rFonts w:asciiTheme="majorHAnsi" w:hAnsiTheme="majorHAnsi"/>
                <w:sz w:val="20"/>
                <w:szCs w:val="20"/>
              </w:rPr>
            </w:pPr>
          </w:p>
        </w:tc>
        <w:tc>
          <w:tcPr>
            <w:tcW w:w="2901" w:type="dxa"/>
            <w:vAlign w:val="center"/>
          </w:tcPr>
          <w:p w14:paraId="6D649140" w14:textId="35947BD2" w:rsidR="00E26467" w:rsidRPr="00E26467" w:rsidRDefault="00E26467" w:rsidP="00B01D35">
            <w:pPr>
              <w:rPr>
                <w:rFonts w:asciiTheme="majorHAnsi" w:hAnsiTheme="majorHAnsi"/>
                <w:sz w:val="20"/>
                <w:szCs w:val="20"/>
              </w:rPr>
            </w:pPr>
            <w:r w:rsidRPr="00E26467">
              <w:rPr>
                <w:rFonts w:asciiTheme="majorHAnsi" w:hAnsiTheme="majorHAnsi"/>
                <w:sz w:val="20"/>
                <w:szCs w:val="20"/>
              </w:rPr>
              <w:t>Developed Market Equities</w:t>
            </w:r>
          </w:p>
        </w:tc>
        <w:tc>
          <w:tcPr>
            <w:tcW w:w="2410" w:type="dxa"/>
            <w:vAlign w:val="center"/>
          </w:tcPr>
          <w:p w14:paraId="46252CC6" w14:textId="24797C66"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6.50% (Nominal)</w:t>
            </w:r>
          </w:p>
        </w:tc>
        <w:tc>
          <w:tcPr>
            <w:tcW w:w="1462" w:type="dxa"/>
            <w:vMerge/>
            <w:vAlign w:val="center"/>
          </w:tcPr>
          <w:p w14:paraId="1B3390C2" w14:textId="7FF7119F" w:rsidR="00E26467" w:rsidRPr="00E26467" w:rsidRDefault="00E26467" w:rsidP="00992EF8">
            <w:pPr>
              <w:rPr>
                <w:rFonts w:asciiTheme="majorHAnsi" w:hAnsiTheme="majorHAnsi"/>
                <w:sz w:val="20"/>
                <w:szCs w:val="20"/>
              </w:rPr>
            </w:pPr>
          </w:p>
        </w:tc>
      </w:tr>
      <w:tr w:rsidR="00E26467" w:rsidRPr="00992EF8" w14:paraId="7FFE20E2" w14:textId="77777777" w:rsidTr="00E26467">
        <w:tc>
          <w:tcPr>
            <w:tcW w:w="1743" w:type="dxa"/>
            <w:vMerge/>
            <w:vAlign w:val="center"/>
          </w:tcPr>
          <w:p w14:paraId="76199173" w14:textId="77777777" w:rsidR="00E26467" w:rsidRPr="00E26467" w:rsidRDefault="00E26467" w:rsidP="00E26467">
            <w:pPr>
              <w:rPr>
                <w:rFonts w:asciiTheme="majorHAnsi" w:hAnsiTheme="majorHAnsi"/>
                <w:sz w:val="20"/>
                <w:szCs w:val="20"/>
              </w:rPr>
            </w:pPr>
          </w:p>
        </w:tc>
        <w:tc>
          <w:tcPr>
            <w:tcW w:w="2901" w:type="dxa"/>
            <w:vAlign w:val="center"/>
          </w:tcPr>
          <w:p w14:paraId="282209AC" w14:textId="030BC88E" w:rsidR="00E26467" w:rsidRPr="00E26467" w:rsidRDefault="00E26467" w:rsidP="00B01D35">
            <w:pPr>
              <w:rPr>
                <w:rFonts w:asciiTheme="majorHAnsi" w:hAnsiTheme="majorHAnsi"/>
                <w:sz w:val="20"/>
                <w:szCs w:val="20"/>
              </w:rPr>
            </w:pPr>
            <w:r w:rsidRPr="00E26467">
              <w:rPr>
                <w:rFonts w:asciiTheme="majorHAnsi" w:hAnsiTheme="majorHAnsi"/>
                <w:sz w:val="20"/>
                <w:szCs w:val="20"/>
              </w:rPr>
              <w:t>Emerging Market Equities</w:t>
            </w:r>
          </w:p>
        </w:tc>
        <w:tc>
          <w:tcPr>
            <w:tcW w:w="2410" w:type="dxa"/>
            <w:vAlign w:val="center"/>
          </w:tcPr>
          <w:p w14:paraId="3CD9E360" w14:textId="068E1B52"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8.00% (Nominal)</w:t>
            </w:r>
          </w:p>
        </w:tc>
        <w:tc>
          <w:tcPr>
            <w:tcW w:w="1462" w:type="dxa"/>
            <w:vMerge/>
            <w:vAlign w:val="center"/>
          </w:tcPr>
          <w:p w14:paraId="0DF4B631" w14:textId="35A85E11" w:rsidR="00E26467" w:rsidRPr="00E26467" w:rsidRDefault="00E26467" w:rsidP="00992EF8">
            <w:pPr>
              <w:rPr>
                <w:rFonts w:asciiTheme="majorHAnsi" w:hAnsiTheme="majorHAnsi"/>
                <w:sz w:val="20"/>
                <w:szCs w:val="20"/>
              </w:rPr>
            </w:pPr>
          </w:p>
        </w:tc>
      </w:tr>
      <w:tr w:rsidR="00E26467" w:rsidRPr="00992EF8" w14:paraId="646A5763" w14:textId="77777777" w:rsidTr="00E26467">
        <w:tc>
          <w:tcPr>
            <w:tcW w:w="1743" w:type="dxa"/>
            <w:vMerge/>
            <w:vAlign w:val="center"/>
          </w:tcPr>
          <w:p w14:paraId="3BA54722" w14:textId="77777777" w:rsidR="00E26467" w:rsidRPr="00E26467" w:rsidRDefault="00E26467" w:rsidP="00E26467">
            <w:pPr>
              <w:rPr>
                <w:rFonts w:asciiTheme="majorHAnsi" w:hAnsiTheme="majorHAnsi"/>
                <w:sz w:val="20"/>
                <w:szCs w:val="20"/>
              </w:rPr>
            </w:pPr>
          </w:p>
        </w:tc>
        <w:tc>
          <w:tcPr>
            <w:tcW w:w="2901" w:type="dxa"/>
            <w:vAlign w:val="center"/>
          </w:tcPr>
          <w:p w14:paraId="4C7A9659" w14:textId="4DEDECE1" w:rsidR="00E26467" w:rsidRPr="00E26467" w:rsidRDefault="00E26467" w:rsidP="00A37AE9">
            <w:pPr>
              <w:rPr>
                <w:rFonts w:asciiTheme="majorHAnsi" w:hAnsiTheme="majorHAnsi"/>
                <w:sz w:val="20"/>
                <w:szCs w:val="20"/>
              </w:rPr>
            </w:pPr>
            <w:r w:rsidRPr="00E26467">
              <w:rPr>
                <w:rFonts w:asciiTheme="majorHAnsi" w:hAnsiTheme="majorHAnsi"/>
                <w:sz w:val="20"/>
                <w:szCs w:val="20"/>
              </w:rPr>
              <w:t>Small Cap &amp; Value Equities</w:t>
            </w:r>
          </w:p>
        </w:tc>
        <w:tc>
          <w:tcPr>
            <w:tcW w:w="2410" w:type="dxa"/>
            <w:vAlign w:val="center"/>
          </w:tcPr>
          <w:p w14:paraId="15E6ACD3" w14:textId="3063513E" w:rsidR="00E26467" w:rsidRPr="00E26467" w:rsidRDefault="00E26467" w:rsidP="00B01D35">
            <w:pPr>
              <w:tabs>
                <w:tab w:val="right" w:pos="2379"/>
              </w:tabs>
              <w:rPr>
                <w:rFonts w:asciiTheme="majorHAnsi" w:hAnsiTheme="majorHAnsi"/>
                <w:sz w:val="20"/>
                <w:szCs w:val="20"/>
              </w:rPr>
            </w:pPr>
            <w:r w:rsidRPr="00E26467">
              <w:rPr>
                <w:rFonts w:asciiTheme="majorHAnsi" w:hAnsiTheme="majorHAnsi"/>
                <w:sz w:val="20"/>
                <w:szCs w:val="20"/>
              </w:rPr>
              <w:t>8.00% (Nominal)</w:t>
            </w:r>
          </w:p>
        </w:tc>
        <w:tc>
          <w:tcPr>
            <w:tcW w:w="1462" w:type="dxa"/>
            <w:vMerge/>
            <w:vAlign w:val="center"/>
          </w:tcPr>
          <w:p w14:paraId="4D80E1FC" w14:textId="76C353E8" w:rsidR="00E26467" w:rsidRPr="00E26467" w:rsidRDefault="00E26467" w:rsidP="00992EF8">
            <w:pPr>
              <w:rPr>
                <w:rFonts w:asciiTheme="majorHAnsi" w:hAnsiTheme="majorHAnsi"/>
                <w:sz w:val="20"/>
                <w:szCs w:val="20"/>
              </w:rPr>
            </w:pPr>
          </w:p>
        </w:tc>
      </w:tr>
      <w:tr w:rsidR="00E26467" w:rsidRPr="00992EF8" w14:paraId="5B879341" w14:textId="77777777" w:rsidTr="00E26467">
        <w:trPr>
          <w:trHeight w:val="238"/>
        </w:trPr>
        <w:tc>
          <w:tcPr>
            <w:tcW w:w="1743" w:type="dxa"/>
            <w:vMerge w:val="restart"/>
            <w:vAlign w:val="center"/>
          </w:tcPr>
          <w:p w14:paraId="6EA9277A" w14:textId="5C4A2A30" w:rsidR="00E26467" w:rsidRPr="00E26467" w:rsidRDefault="00E26467" w:rsidP="00E26467">
            <w:pPr>
              <w:rPr>
                <w:rFonts w:asciiTheme="majorHAnsi" w:hAnsiTheme="majorHAnsi"/>
                <w:sz w:val="20"/>
                <w:szCs w:val="20"/>
              </w:rPr>
            </w:pPr>
            <w:r w:rsidRPr="00E26467">
              <w:rPr>
                <w:rFonts w:asciiTheme="majorHAnsi" w:hAnsiTheme="majorHAnsi"/>
                <w:sz w:val="20"/>
                <w:szCs w:val="20"/>
              </w:rPr>
              <w:t>Portfolio Projections (net of all charges)</w:t>
            </w:r>
          </w:p>
        </w:tc>
        <w:tc>
          <w:tcPr>
            <w:tcW w:w="2901" w:type="dxa"/>
            <w:vAlign w:val="center"/>
          </w:tcPr>
          <w:p w14:paraId="39A0ABAA" w14:textId="08AFCCE1" w:rsidR="00E26467" w:rsidRPr="00E26467" w:rsidRDefault="00E26467" w:rsidP="00B01D35">
            <w:pPr>
              <w:rPr>
                <w:rFonts w:asciiTheme="majorHAnsi" w:hAnsiTheme="majorHAnsi"/>
                <w:sz w:val="20"/>
                <w:szCs w:val="20"/>
              </w:rPr>
            </w:pPr>
            <w:r w:rsidRPr="00E26467">
              <w:rPr>
                <w:rFonts w:asciiTheme="majorHAnsi" w:hAnsiTheme="majorHAnsi"/>
                <w:sz w:val="20"/>
                <w:szCs w:val="20"/>
              </w:rPr>
              <w:t>Risk 1</w:t>
            </w:r>
          </w:p>
        </w:tc>
        <w:tc>
          <w:tcPr>
            <w:tcW w:w="2410" w:type="dxa"/>
            <w:vAlign w:val="center"/>
          </w:tcPr>
          <w:p w14:paraId="63E67897" w14:textId="26260D1D"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w:t>
            </w:r>
            <w:r w:rsidRPr="00E26467">
              <w:rPr>
                <w:rFonts w:asciiTheme="majorHAnsi" w:hAnsiTheme="majorHAnsi"/>
                <w:color w:val="FF0000"/>
                <w:sz w:val="20"/>
                <w:szCs w:val="20"/>
              </w:rPr>
              <w:t xml:space="preserve">– 2.3% </w:t>
            </w:r>
          </w:p>
        </w:tc>
        <w:tc>
          <w:tcPr>
            <w:tcW w:w="1462" w:type="dxa"/>
            <w:vMerge/>
            <w:vAlign w:val="center"/>
          </w:tcPr>
          <w:p w14:paraId="1BAD1EE9" w14:textId="3113BB7C" w:rsidR="00E26467" w:rsidRPr="00E26467" w:rsidRDefault="00E26467" w:rsidP="00992EF8">
            <w:pPr>
              <w:rPr>
                <w:rFonts w:asciiTheme="majorHAnsi" w:hAnsiTheme="majorHAnsi"/>
                <w:sz w:val="20"/>
                <w:szCs w:val="20"/>
              </w:rPr>
            </w:pPr>
          </w:p>
        </w:tc>
      </w:tr>
      <w:tr w:rsidR="00E26467" w:rsidRPr="00992EF8" w14:paraId="68A91BD9" w14:textId="77777777" w:rsidTr="00E26467">
        <w:trPr>
          <w:trHeight w:val="234"/>
        </w:trPr>
        <w:tc>
          <w:tcPr>
            <w:tcW w:w="1743" w:type="dxa"/>
            <w:vMerge/>
          </w:tcPr>
          <w:p w14:paraId="736B3142" w14:textId="77777777" w:rsidR="00E26467" w:rsidRPr="00E26467" w:rsidRDefault="00E26467" w:rsidP="00B01D35">
            <w:pPr>
              <w:rPr>
                <w:rFonts w:asciiTheme="majorHAnsi" w:hAnsiTheme="majorHAnsi"/>
                <w:sz w:val="20"/>
                <w:szCs w:val="20"/>
              </w:rPr>
            </w:pPr>
          </w:p>
        </w:tc>
        <w:tc>
          <w:tcPr>
            <w:tcW w:w="2901" w:type="dxa"/>
            <w:vAlign w:val="center"/>
          </w:tcPr>
          <w:p w14:paraId="724DAB7B" w14:textId="5B539899" w:rsidR="00E26467" w:rsidRPr="00E26467" w:rsidRDefault="00E26467" w:rsidP="00B01D35">
            <w:pPr>
              <w:rPr>
                <w:rFonts w:asciiTheme="majorHAnsi" w:hAnsiTheme="majorHAnsi"/>
                <w:sz w:val="20"/>
                <w:szCs w:val="20"/>
              </w:rPr>
            </w:pPr>
            <w:r w:rsidRPr="00E26467">
              <w:rPr>
                <w:rFonts w:asciiTheme="majorHAnsi" w:hAnsiTheme="majorHAnsi"/>
                <w:sz w:val="20"/>
                <w:szCs w:val="20"/>
              </w:rPr>
              <w:t>Risk 2</w:t>
            </w:r>
          </w:p>
        </w:tc>
        <w:tc>
          <w:tcPr>
            <w:tcW w:w="2410" w:type="dxa"/>
            <w:vAlign w:val="center"/>
          </w:tcPr>
          <w:p w14:paraId="28B88D4A" w14:textId="482842BB"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w:t>
            </w:r>
            <w:r w:rsidRPr="00E26467">
              <w:rPr>
                <w:rFonts w:asciiTheme="majorHAnsi" w:hAnsiTheme="majorHAnsi"/>
                <w:color w:val="FF0000"/>
                <w:sz w:val="20"/>
                <w:szCs w:val="20"/>
              </w:rPr>
              <w:t xml:space="preserve">-0.5% </w:t>
            </w:r>
          </w:p>
        </w:tc>
        <w:tc>
          <w:tcPr>
            <w:tcW w:w="1462" w:type="dxa"/>
            <w:vMerge/>
            <w:vAlign w:val="center"/>
          </w:tcPr>
          <w:p w14:paraId="4B11103F" w14:textId="77777777" w:rsidR="00E26467" w:rsidRPr="00E26467" w:rsidRDefault="00E26467" w:rsidP="00992EF8">
            <w:pPr>
              <w:rPr>
                <w:rFonts w:asciiTheme="majorHAnsi" w:hAnsiTheme="majorHAnsi"/>
                <w:sz w:val="20"/>
                <w:szCs w:val="20"/>
              </w:rPr>
            </w:pPr>
          </w:p>
        </w:tc>
      </w:tr>
      <w:tr w:rsidR="00E26467" w:rsidRPr="00992EF8" w14:paraId="13F436F3" w14:textId="77777777" w:rsidTr="00E26467">
        <w:trPr>
          <w:trHeight w:val="234"/>
        </w:trPr>
        <w:tc>
          <w:tcPr>
            <w:tcW w:w="1743" w:type="dxa"/>
            <w:vMerge/>
          </w:tcPr>
          <w:p w14:paraId="3A9E414E" w14:textId="77777777" w:rsidR="00E26467" w:rsidRPr="00E26467" w:rsidRDefault="00E26467" w:rsidP="00B01D35">
            <w:pPr>
              <w:rPr>
                <w:rFonts w:asciiTheme="majorHAnsi" w:hAnsiTheme="majorHAnsi"/>
                <w:sz w:val="20"/>
                <w:szCs w:val="20"/>
              </w:rPr>
            </w:pPr>
          </w:p>
        </w:tc>
        <w:tc>
          <w:tcPr>
            <w:tcW w:w="2901" w:type="dxa"/>
            <w:vAlign w:val="center"/>
          </w:tcPr>
          <w:p w14:paraId="643C0F45" w14:textId="3111FCA6" w:rsidR="00E26467" w:rsidRPr="00E26467" w:rsidRDefault="00E26467" w:rsidP="00B01D35">
            <w:pPr>
              <w:rPr>
                <w:rFonts w:asciiTheme="majorHAnsi" w:hAnsiTheme="majorHAnsi"/>
                <w:sz w:val="20"/>
                <w:szCs w:val="20"/>
              </w:rPr>
            </w:pPr>
            <w:r w:rsidRPr="00E26467">
              <w:rPr>
                <w:rFonts w:asciiTheme="majorHAnsi" w:hAnsiTheme="majorHAnsi"/>
                <w:sz w:val="20"/>
                <w:szCs w:val="20"/>
              </w:rPr>
              <w:t>Risk 3</w:t>
            </w:r>
          </w:p>
        </w:tc>
        <w:tc>
          <w:tcPr>
            <w:tcW w:w="2410" w:type="dxa"/>
            <w:vAlign w:val="center"/>
          </w:tcPr>
          <w:p w14:paraId="6F22C446" w14:textId="2703376B"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w:t>
            </w:r>
          </w:p>
        </w:tc>
        <w:tc>
          <w:tcPr>
            <w:tcW w:w="1462" w:type="dxa"/>
            <w:vMerge/>
            <w:vAlign w:val="center"/>
          </w:tcPr>
          <w:p w14:paraId="23D09516" w14:textId="77777777" w:rsidR="00E26467" w:rsidRPr="00E26467" w:rsidRDefault="00E26467" w:rsidP="00992EF8">
            <w:pPr>
              <w:rPr>
                <w:rFonts w:asciiTheme="majorHAnsi" w:hAnsiTheme="majorHAnsi"/>
                <w:sz w:val="20"/>
                <w:szCs w:val="20"/>
              </w:rPr>
            </w:pPr>
          </w:p>
        </w:tc>
      </w:tr>
      <w:tr w:rsidR="00E26467" w:rsidRPr="00992EF8" w14:paraId="7F9C8C07" w14:textId="77777777" w:rsidTr="00E26467">
        <w:trPr>
          <w:trHeight w:val="234"/>
        </w:trPr>
        <w:tc>
          <w:tcPr>
            <w:tcW w:w="1743" w:type="dxa"/>
            <w:vMerge/>
          </w:tcPr>
          <w:p w14:paraId="1AECC678" w14:textId="77777777" w:rsidR="00E26467" w:rsidRPr="00E26467" w:rsidRDefault="00E26467" w:rsidP="00B01D35">
            <w:pPr>
              <w:rPr>
                <w:rFonts w:asciiTheme="majorHAnsi" w:hAnsiTheme="majorHAnsi"/>
                <w:sz w:val="20"/>
                <w:szCs w:val="20"/>
              </w:rPr>
            </w:pPr>
          </w:p>
        </w:tc>
        <w:tc>
          <w:tcPr>
            <w:tcW w:w="2901" w:type="dxa"/>
            <w:vAlign w:val="center"/>
          </w:tcPr>
          <w:p w14:paraId="0886BA4C" w14:textId="1A1648B2" w:rsidR="00E26467" w:rsidRPr="00E26467" w:rsidRDefault="00E26467" w:rsidP="00B01D35">
            <w:pPr>
              <w:rPr>
                <w:rFonts w:asciiTheme="majorHAnsi" w:hAnsiTheme="majorHAnsi"/>
                <w:sz w:val="20"/>
                <w:szCs w:val="20"/>
              </w:rPr>
            </w:pPr>
            <w:r w:rsidRPr="00E26467">
              <w:rPr>
                <w:rFonts w:asciiTheme="majorHAnsi" w:hAnsiTheme="majorHAnsi"/>
                <w:sz w:val="20"/>
                <w:szCs w:val="20"/>
              </w:rPr>
              <w:t>Risk 4</w:t>
            </w:r>
          </w:p>
        </w:tc>
        <w:tc>
          <w:tcPr>
            <w:tcW w:w="2410" w:type="dxa"/>
            <w:vAlign w:val="center"/>
          </w:tcPr>
          <w:p w14:paraId="33A59AC6" w14:textId="19D61C5D"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+ 0.5% </w:t>
            </w:r>
          </w:p>
        </w:tc>
        <w:tc>
          <w:tcPr>
            <w:tcW w:w="1462" w:type="dxa"/>
            <w:vMerge/>
            <w:vAlign w:val="center"/>
          </w:tcPr>
          <w:p w14:paraId="732F7B5D" w14:textId="77777777" w:rsidR="00E26467" w:rsidRPr="00E26467" w:rsidRDefault="00E26467" w:rsidP="00992EF8">
            <w:pPr>
              <w:rPr>
                <w:rFonts w:asciiTheme="majorHAnsi" w:hAnsiTheme="majorHAnsi"/>
                <w:sz w:val="20"/>
                <w:szCs w:val="20"/>
              </w:rPr>
            </w:pPr>
          </w:p>
        </w:tc>
      </w:tr>
      <w:tr w:rsidR="00E26467" w:rsidRPr="00992EF8" w14:paraId="5690D0D6" w14:textId="77777777" w:rsidTr="00E26467">
        <w:trPr>
          <w:trHeight w:val="234"/>
        </w:trPr>
        <w:tc>
          <w:tcPr>
            <w:tcW w:w="1743" w:type="dxa"/>
            <w:vMerge/>
          </w:tcPr>
          <w:p w14:paraId="33B4E274" w14:textId="77777777" w:rsidR="00E26467" w:rsidRPr="00E26467" w:rsidRDefault="00E26467" w:rsidP="00B01D35">
            <w:pPr>
              <w:rPr>
                <w:rFonts w:asciiTheme="majorHAnsi" w:hAnsiTheme="majorHAnsi"/>
                <w:sz w:val="20"/>
                <w:szCs w:val="20"/>
              </w:rPr>
            </w:pPr>
          </w:p>
        </w:tc>
        <w:tc>
          <w:tcPr>
            <w:tcW w:w="2901" w:type="dxa"/>
            <w:vAlign w:val="center"/>
          </w:tcPr>
          <w:p w14:paraId="3D6043FF" w14:textId="63EF86B7" w:rsidR="00E26467" w:rsidRPr="007008A8" w:rsidRDefault="00E26467" w:rsidP="00B01D35">
            <w:pPr>
              <w:rPr>
                <w:rFonts w:asciiTheme="majorHAnsi" w:hAnsiTheme="majorHAnsi"/>
                <w:color w:val="00B050"/>
                <w:sz w:val="20"/>
                <w:szCs w:val="20"/>
              </w:rPr>
            </w:pPr>
            <w:r w:rsidRPr="007008A8">
              <w:rPr>
                <w:rFonts w:asciiTheme="majorHAnsi" w:hAnsiTheme="majorHAnsi"/>
                <w:color w:val="00B050"/>
                <w:sz w:val="20"/>
                <w:szCs w:val="20"/>
              </w:rPr>
              <w:t>Risk 5</w:t>
            </w:r>
          </w:p>
        </w:tc>
        <w:tc>
          <w:tcPr>
            <w:tcW w:w="2410" w:type="dxa"/>
            <w:vAlign w:val="center"/>
          </w:tcPr>
          <w:p w14:paraId="311D6EE5" w14:textId="7B70EC3D" w:rsidR="00E26467" w:rsidRPr="007008A8" w:rsidRDefault="00E26467" w:rsidP="00E26467">
            <w:pPr>
              <w:rPr>
                <w:rFonts w:asciiTheme="majorHAnsi" w:hAnsiTheme="majorHAnsi"/>
                <w:color w:val="00B050"/>
                <w:sz w:val="20"/>
                <w:szCs w:val="20"/>
              </w:rPr>
            </w:pPr>
            <w:r w:rsidRPr="007008A8">
              <w:rPr>
                <w:rFonts w:asciiTheme="majorHAnsi" w:hAnsiTheme="majorHAnsi"/>
                <w:color w:val="00B050"/>
                <w:sz w:val="20"/>
                <w:szCs w:val="20"/>
              </w:rPr>
              <w:t xml:space="preserve">RPI + 1.0% </w:t>
            </w:r>
          </w:p>
        </w:tc>
        <w:tc>
          <w:tcPr>
            <w:tcW w:w="1462" w:type="dxa"/>
            <w:vMerge/>
            <w:vAlign w:val="center"/>
          </w:tcPr>
          <w:p w14:paraId="51341830" w14:textId="77777777" w:rsidR="00E26467" w:rsidRPr="00E26467" w:rsidRDefault="00E26467" w:rsidP="00992EF8">
            <w:pPr>
              <w:rPr>
                <w:rFonts w:asciiTheme="majorHAnsi" w:hAnsiTheme="majorHAnsi"/>
                <w:sz w:val="20"/>
                <w:szCs w:val="20"/>
              </w:rPr>
            </w:pPr>
          </w:p>
        </w:tc>
      </w:tr>
      <w:tr w:rsidR="00E26467" w:rsidRPr="00992EF8" w14:paraId="42582FCD" w14:textId="77777777" w:rsidTr="00E26467">
        <w:trPr>
          <w:trHeight w:val="234"/>
        </w:trPr>
        <w:tc>
          <w:tcPr>
            <w:tcW w:w="1743" w:type="dxa"/>
            <w:vMerge/>
          </w:tcPr>
          <w:p w14:paraId="0CA8950F" w14:textId="77777777" w:rsidR="00E26467" w:rsidRPr="00E26467" w:rsidRDefault="00E26467" w:rsidP="00B01D35">
            <w:pPr>
              <w:rPr>
                <w:rFonts w:asciiTheme="majorHAnsi" w:hAnsiTheme="majorHAnsi"/>
                <w:sz w:val="20"/>
                <w:szCs w:val="20"/>
              </w:rPr>
            </w:pPr>
          </w:p>
        </w:tc>
        <w:tc>
          <w:tcPr>
            <w:tcW w:w="2901" w:type="dxa"/>
            <w:vAlign w:val="center"/>
          </w:tcPr>
          <w:p w14:paraId="3A6B28D5" w14:textId="77100134" w:rsidR="00E26467" w:rsidRPr="00E26467" w:rsidRDefault="00E26467" w:rsidP="00B01D35">
            <w:pPr>
              <w:rPr>
                <w:rFonts w:asciiTheme="majorHAnsi" w:hAnsiTheme="majorHAnsi"/>
                <w:sz w:val="20"/>
                <w:szCs w:val="20"/>
              </w:rPr>
            </w:pPr>
            <w:r w:rsidRPr="00E26467">
              <w:rPr>
                <w:rFonts w:asciiTheme="majorHAnsi" w:hAnsiTheme="majorHAnsi"/>
                <w:sz w:val="20"/>
                <w:szCs w:val="20"/>
              </w:rPr>
              <w:t>Risk 6</w:t>
            </w:r>
          </w:p>
        </w:tc>
        <w:tc>
          <w:tcPr>
            <w:tcW w:w="2410" w:type="dxa"/>
            <w:vAlign w:val="center"/>
          </w:tcPr>
          <w:p w14:paraId="3C0A38B0" w14:textId="44347C7E"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+ 1.5% </w:t>
            </w:r>
          </w:p>
        </w:tc>
        <w:tc>
          <w:tcPr>
            <w:tcW w:w="1462" w:type="dxa"/>
            <w:vMerge/>
            <w:vAlign w:val="center"/>
          </w:tcPr>
          <w:p w14:paraId="6F2D9273" w14:textId="77777777" w:rsidR="00E26467" w:rsidRPr="00E26467" w:rsidRDefault="00E26467" w:rsidP="00992EF8">
            <w:pPr>
              <w:rPr>
                <w:rFonts w:asciiTheme="majorHAnsi" w:hAnsiTheme="majorHAnsi"/>
                <w:sz w:val="20"/>
                <w:szCs w:val="20"/>
              </w:rPr>
            </w:pPr>
          </w:p>
        </w:tc>
      </w:tr>
      <w:tr w:rsidR="00E26467" w:rsidRPr="00992EF8" w14:paraId="38768D70" w14:textId="77777777" w:rsidTr="00E26467">
        <w:trPr>
          <w:trHeight w:val="234"/>
        </w:trPr>
        <w:tc>
          <w:tcPr>
            <w:tcW w:w="1743" w:type="dxa"/>
            <w:vMerge/>
          </w:tcPr>
          <w:p w14:paraId="4C2EA636" w14:textId="77777777" w:rsidR="00E26467" w:rsidRPr="00E26467" w:rsidRDefault="00E26467" w:rsidP="00B01D35">
            <w:pPr>
              <w:rPr>
                <w:rFonts w:asciiTheme="majorHAnsi" w:hAnsiTheme="majorHAnsi"/>
                <w:sz w:val="20"/>
                <w:szCs w:val="20"/>
              </w:rPr>
            </w:pPr>
          </w:p>
        </w:tc>
        <w:tc>
          <w:tcPr>
            <w:tcW w:w="2901" w:type="dxa"/>
            <w:vAlign w:val="center"/>
          </w:tcPr>
          <w:p w14:paraId="34AB3E2F" w14:textId="3C0B2938" w:rsidR="00E26467" w:rsidRPr="00E26467" w:rsidRDefault="00E26467" w:rsidP="00B01D35">
            <w:pPr>
              <w:rPr>
                <w:rFonts w:asciiTheme="majorHAnsi" w:hAnsiTheme="majorHAnsi"/>
                <w:sz w:val="20"/>
                <w:szCs w:val="20"/>
              </w:rPr>
            </w:pPr>
            <w:r w:rsidRPr="00E26467">
              <w:rPr>
                <w:rFonts w:asciiTheme="majorHAnsi" w:hAnsiTheme="majorHAnsi"/>
                <w:sz w:val="20"/>
                <w:szCs w:val="20"/>
              </w:rPr>
              <w:t>Risk 7</w:t>
            </w:r>
          </w:p>
        </w:tc>
        <w:tc>
          <w:tcPr>
            <w:tcW w:w="2410" w:type="dxa"/>
            <w:vAlign w:val="center"/>
          </w:tcPr>
          <w:p w14:paraId="287D5F60" w14:textId="3EE617C9"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+ 2.0% </w:t>
            </w:r>
          </w:p>
        </w:tc>
        <w:tc>
          <w:tcPr>
            <w:tcW w:w="1462" w:type="dxa"/>
            <w:vMerge/>
            <w:vAlign w:val="center"/>
          </w:tcPr>
          <w:p w14:paraId="6CC0B898" w14:textId="77777777" w:rsidR="00E26467" w:rsidRPr="00E26467" w:rsidRDefault="00E26467" w:rsidP="00992EF8">
            <w:pPr>
              <w:rPr>
                <w:rFonts w:asciiTheme="majorHAnsi" w:hAnsiTheme="majorHAnsi"/>
                <w:sz w:val="20"/>
                <w:szCs w:val="20"/>
              </w:rPr>
            </w:pPr>
          </w:p>
        </w:tc>
      </w:tr>
      <w:tr w:rsidR="00E26467" w:rsidRPr="00992EF8" w14:paraId="2E6AF9D0" w14:textId="77777777" w:rsidTr="00E26467">
        <w:trPr>
          <w:trHeight w:val="234"/>
        </w:trPr>
        <w:tc>
          <w:tcPr>
            <w:tcW w:w="1743" w:type="dxa"/>
            <w:vMerge/>
          </w:tcPr>
          <w:p w14:paraId="371CE305" w14:textId="77777777" w:rsidR="00E26467" w:rsidRPr="00E26467" w:rsidRDefault="00E26467" w:rsidP="00B01D35">
            <w:pPr>
              <w:rPr>
                <w:rFonts w:asciiTheme="majorHAnsi" w:hAnsiTheme="majorHAnsi"/>
                <w:sz w:val="20"/>
                <w:szCs w:val="20"/>
              </w:rPr>
            </w:pPr>
          </w:p>
        </w:tc>
        <w:tc>
          <w:tcPr>
            <w:tcW w:w="2901" w:type="dxa"/>
            <w:vAlign w:val="center"/>
          </w:tcPr>
          <w:p w14:paraId="6A3E0EC8" w14:textId="1339109B" w:rsidR="00E26467" w:rsidRPr="00E26467" w:rsidRDefault="00E26467" w:rsidP="00B01D35">
            <w:pPr>
              <w:rPr>
                <w:rFonts w:asciiTheme="majorHAnsi" w:hAnsiTheme="majorHAnsi"/>
                <w:sz w:val="20"/>
                <w:szCs w:val="20"/>
              </w:rPr>
            </w:pPr>
            <w:r w:rsidRPr="00E26467">
              <w:rPr>
                <w:rFonts w:asciiTheme="majorHAnsi" w:hAnsiTheme="majorHAnsi"/>
                <w:sz w:val="20"/>
                <w:szCs w:val="20"/>
              </w:rPr>
              <w:t>Risk 8</w:t>
            </w:r>
          </w:p>
        </w:tc>
        <w:tc>
          <w:tcPr>
            <w:tcW w:w="2410" w:type="dxa"/>
            <w:vAlign w:val="center"/>
          </w:tcPr>
          <w:p w14:paraId="69C9F1EF" w14:textId="1083443B" w:rsidR="00E26467" w:rsidRPr="00E26467" w:rsidRDefault="00E26467" w:rsidP="00B01D35">
            <w:pPr>
              <w:rPr>
                <w:rFonts w:asciiTheme="majorHAnsi" w:hAnsiTheme="majorHAnsi"/>
                <w:sz w:val="20"/>
                <w:szCs w:val="20"/>
              </w:rPr>
            </w:pPr>
            <w:r w:rsidRPr="00E26467">
              <w:rPr>
                <w:rFonts w:asciiTheme="majorHAnsi" w:hAnsiTheme="majorHAnsi"/>
                <w:sz w:val="20"/>
                <w:szCs w:val="20"/>
              </w:rPr>
              <w:t xml:space="preserve">RPI + 2.5% </w:t>
            </w:r>
          </w:p>
        </w:tc>
        <w:tc>
          <w:tcPr>
            <w:tcW w:w="1462" w:type="dxa"/>
            <w:vMerge/>
            <w:vAlign w:val="center"/>
          </w:tcPr>
          <w:p w14:paraId="03535184" w14:textId="77777777" w:rsidR="00E26467" w:rsidRPr="00E26467" w:rsidRDefault="00E26467" w:rsidP="00992EF8">
            <w:pPr>
              <w:rPr>
                <w:rFonts w:asciiTheme="majorHAnsi" w:hAnsiTheme="majorHAnsi"/>
                <w:sz w:val="20"/>
                <w:szCs w:val="20"/>
              </w:rPr>
            </w:pPr>
          </w:p>
        </w:tc>
      </w:tr>
      <w:tr w:rsidR="00E26467" w:rsidRPr="00992EF8" w14:paraId="52FABB88" w14:textId="77777777" w:rsidTr="00E26467">
        <w:trPr>
          <w:trHeight w:val="193"/>
        </w:trPr>
        <w:tc>
          <w:tcPr>
            <w:tcW w:w="1743" w:type="dxa"/>
            <w:vMerge/>
          </w:tcPr>
          <w:p w14:paraId="58FE77A1" w14:textId="77777777" w:rsidR="00E26467" w:rsidRPr="00E26467" w:rsidRDefault="00E26467" w:rsidP="00B01D35">
            <w:pPr>
              <w:rPr>
                <w:rFonts w:asciiTheme="majorHAnsi" w:hAnsiTheme="majorHAnsi"/>
                <w:sz w:val="20"/>
                <w:szCs w:val="20"/>
              </w:rPr>
            </w:pPr>
          </w:p>
        </w:tc>
        <w:tc>
          <w:tcPr>
            <w:tcW w:w="2901" w:type="dxa"/>
            <w:vAlign w:val="center"/>
          </w:tcPr>
          <w:p w14:paraId="35404EE1" w14:textId="0F3EB3D2" w:rsidR="00E26467" w:rsidRPr="00E26467" w:rsidRDefault="00E26467" w:rsidP="00B01D35">
            <w:pPr>
              <w:rPr>
                <w:rFonts w:asciiTheme="majorHAnsi" w:hAnsiTheme="majorHAnsi"/>
                <w:sz w:val="20"/>
                <w:szCs w:val="20"/>
              </w:rPr>
            </w:pPr>
            <w:r w:rsidRPr="00E26467">
              <w:rPr>
                <w:rFonts w:asciiTheme="majorHAnsi" w:hAnsiTheme="majorHAnsi"/>
                <w:sz w:val="20"/>
                <w:szCs w:val="20"/>
              </w:rPr>
              <w:t>Risk 9</w:t>
            </w:r>
          </w:p>
        </w:tc>
        <w:tc>
          <w:tcPr>
            <w:tcW w:w="2410" w:type="dxa"/>
            <w:vAlign w:val="center"/>
          </w:tcPr>
          <w:p w14:paraId="7F1EDD15" w14:textId="6EB9357F"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+ 2.5% </w:t>
            </w:r>
          </w:p>
        </w:tc>
        <w:tc>
          <w:tcPr>
            <w:tcW w:w="1462" w:type="dxa"/>
            <w:vMerge/>
            <w:vAlign w:val="center"/>
          </w:tcPr>
          <w:p w14:paraId="5E147C8B" w14:textId="77777777" w:rsidR="00E26467" w:rsidRPr="00E26467" w:rsidRDefault="00E26467" w:rsidP="00992EF8">
            <w:pPr>
              <w:rPr>
                <w:rFonts w:asciiTheme="majorHAnsi" w:hAnsiTheme="majorHAnsi"/>
                <w:sz w:val="20"/>
                <w:szCs w:val="20"/>
              </w:rPr>
            </w:pPr>
          </w:p>
        </w:tc>
      </w:tr>
      <w:tr w:rsidR="00E26467" w:rsidRPr="00992EF8" w14:paraId="49E84858" w14:textId="77777777" w:rsidTr="00E26467">
        <w:trPr>
          <w:trHeight w:val="192"/>
        </w:trPr>
        <w:tc>
          <w:tcPr>
            <w:tcW w:w="1743" w:type="dxa"/>
            <w:vMerge/>
          </w:tcPr>
          <w:p w14:paraId="11035D7E" w14:textId="77777777" w:rsidR="00E26467" w:rsidRPr="00E26467" w:rsidRDefault="00E26467" w:rsidP="00B01D35">
            <w:pPr>
              <w:rPr>
                <w:rFonts w:asciiTheme="majorHAnsi" w:hAnsiTheme="majorHAnsi"/>
                <w:sz w:val="20"/>
                <w:szCs w:val="20"/>
              </w:rPr>
            </w:pPr>
          </w:p>
        </w:tc>
        <w:tc>
          <w:tcPr>
            <w:tcW w:w="2901" w:type="dxa"/>
            <w:vAlign w:val="center"/>
          </w:tcPr>
          <w:p w14:paraId="49266631" w14:textId="73854AE4" w:rsidR="00E26467" w:rsidRPr="00E26467" w:rsidRDefault="00E26467" w:rsidP="00B01D35">
            <w:pPr>
              <w:rPr>
                <w:rFonts w:asciiTheme="majorHAnsi" w:hAnsiTheme="majorHAnsi"/>
                <w:sz w:val="20"/>
                <w:szCs w:val="20"/>
              </w:rPr>
            </w:pPr>
            <w:r w:rsidRPr="00E26467">
              <w:rPr>
                <w:rFonts w:asciiTheme="majorHAnsi" w:hAnsiTheme="majorHAnsi"/>
                <w:sz w:val="20"/>
                <w:szCs w:val="20"/>
              </w:rPr>
              <w:t>Risk 10</w:t>
            </w:r>
          </w:p>
        </w:tc>
        <w:tc>
          <w:tcPr>
            <w:tcW w:w="2410" w:type="dxa"/>
            <w:vAlign w:val="center"/>
          </w:tcPr>
          <w:p w14:paraId="612B4136" w14:textId="3B55175A" w:rsidR="00E26467" w:rsidRPr="00E26467" w:rsidRDefault="00E26467" w:rsidP="00E26467">
            <w:pPr>
              <w:rPr>
                <w:rFonts w:asciiTheme="majorHAnsi" w:hAnsiTheme="majorHAnsi"/>
                <w:sz w:val="20"/>
                <w:szCs w:val="20"/>
              </w:rPr>
            </w:pPr>
            <w:r w:rsidRPr="00E26467">
              <w:rPr>
                <w:rFonts w:asciiTheme="majorHAnsi" w:hAnsiTheme="majorHAnsi"/>
                <w:sz w:val="20"/>
                <w:szCs w:val="20"/>
              </w:rPr>
              <w:t xml:space="preserve">RPI + 3% </w:t>
            </w:r>
          </w:p>
        </w:tc>
        <w:tc>
          <w:tcPr>
            <w:tcW w:w="1462" w:type="dxa"/>
            <w:vMerge/>
            <w:vAlign w:val="center"/>
          </w:tcPr>
          <w:p w14:paraId="5371A589" w14:textId="77777777" w:rsidR="00E26467" w:rsidRPr="00E26467" w:rsidRDefault="00E26467" w:rsidP="00992EF8">
            <w:pPr>
              <w:rPr>
                <w:rFonts w:asciiTheme="majorHAnsi" w:hAnsiTheme="majorHAnsi"/>
                <w:sz w:val="20"/>
                <w:szCs w:val="20"/>
              </w:rPr>
            </w:pPr>
          </w:p>
        </w:tc>
      </w:tr>
    </w:tbl>
    <w:p w14:paraId="075084C5" w14:textId="6E2EE31A" w:rsidR="0008616F" w:rsidRPr="00992EF8" w:rsidRDefault="0008616F">
      <w:pPr>
        <w:rPr>
          <w:rFonts w:asciiTheme="majorHAnsi" w:hAnsiTheme="majorHAnsi"/>
          <w:sz w:val="22"/>
          <w:szCs w:val="22"/>
        </w:rPr>
      </w:pPr>
    </w:p>
    <w:p w14:paraId="77BFCD12" w14:textId="77777777" w:rsidR="007F44A9" w:rsidRPr="00992EF8" w:rsidRDefault="007F44A9" w:rsidP="00BF431C">
      <w:pPr>
        <w:rPr>
          <w:rFonts w:asciiTheme="majorHAnsi" w:hAnsiTheme="majorHAnsi"/>
          <w:sz w:val="22"/>
          <w:szCs w:val="22"/>
        </w:rPr>
      </w:pPr>
    </w:p>
    <w:p w14:paraId="6A9FCD4F" w14:textId="77777777" w:rsidR="00A37AE9" w:rsidRDefault="00A37AE9">
      <w:pPr>
        <w:rPr>
          <w:rFonts w:asciiTheme="majorHAnsi" w:eastAsiaTheme="majorEastAsia" w:hAnsiTheme="majorHAnsi" w:cstheme="majorBidi"/>
          <w:b/>
          <w:bCs/>
          <w:sz w:val="32"/>
          <w:szCs w:val="32"/>
        </w:rPr>
      </w:pPr>
      <w:r>
        <w:br w:type="page"/>
      </w:r>
    </w:p>
    <w:p w14:paraId="359A95BF" w14:textId="5DCBB306" w:rsidR="002D7D81" w:rsidRPr="002D7D81" w:rsidRDefault="002D7D81" w:rsidP="002D7D81">
      <w:pPr>
        <w:pStyle w:val="Heading1"/>
      </w:pPr>
      <w:bookmarkStart w:id="1" w:name="_Toc394484435"/>
      <w:r w:rsidRPr="002D7D81">
        <w:lastRenderedPageBreak/>
        <w:t>System Assumptions</w:t>
      </w:r>
      <w:bookmarkEnd w:id="1"/>
    </w:p>
    <w:tbl>
      <w:tblPr>
        <w:tblStyle w:val="TableGrid"/>
        <w:tblW w:w="0" w:type="auto"/>
        <w:tblLook w:val="04A0" w:firstRow="1" w:lastRow="0" w:firstColumn="1" w:lastColumn="0" w:noHBand="0" w:noVBand="1"/>
      </w:tblPr>
      <w:tblGrid>
        <w:gridCol w:w="1384"/>
        <w:gridCol w:w="2552"/>
        <w:gridCol w:w="4580"/>
      </w:tblGrid>
      <w:tr w:rsidR="002D7D81" w:rsidRPr="00992EF8" w14:paraId="062EA317" w14:textId="77777777" w:rsidTr="00E26467">
        <w:tc>
          <w:tcPr>
            <w:tcW w:w="1384" w:type="dxa"/>
            <w:vAlign w:val="center"/>
          </w:tcPr>
          <w:p w14:paraId="59DAB2CA" w14:textId="77777777" w:rsidR="002D7D81" w:rsidRPr="00992EF8" w:rsidRDefault="002D7D81" w:rsidP="002D7D81">
            <w:pPr>
              <w:rPr>
                <w:rFonts w:asciiTheme="majorHAnsi" w:hAnsiTheme="majorHAnsi"/>
                <w:b/>
                <w:sz w:val="22"/>
                <w:szCs w:val="22"/>
              </w:rPr>
            </w:pPr>
            <w:r w:rsidRPr="00992EF8">
              <w:rPr>
                <w:rFonts w:asciiTheme="majorHAnsi" w:hAnsiTheme="majorHAnsi"/>
                <w:b/>
                <w:sz w:val="22"/>
                <w:szCs w:val="22"/>
              </w:rPr>
              <w:t>Category</w:t>
            </w:r>
          </w:p>
        </w:tc>
        <w:tc>
          <w:tcPr>
            <w:tcW w:w="2552" w:type="dxa"/>
            <w:vAlign w:val="center"/>
          </w:tcPr>
          <w:p w14:paraId="3609D330" w14:textId="77777777" w:rsidR="002D7D81" w:rsidRPr="00992EF8" w:rsidRDefault="002D7D81" w:rsidP="002D7D81">
            <w:pPr>
              <w:rPr>
                <w:rFonts w:asciiTheme="majorHAnsi" w:hAnsiTheme="majorHAnsi"/>
                <w:b/>
                <w:sz w:val="22"/>
                <w:szCs w:val="22"/>
              </w:rPr>
            </w:pPr>
            <w:r w:rsidRPr="00992EF8">
              <w:rPr>
                <w:rFonts w:asciiTheme="majorHAnsi" w:hAnsiTheme="majorHAnsi"/>
                <w:b/>
                <w:sz w:val="22"/>
                <w:szCs w:val="22"/>
              </w:rPr>
              <w:t>Default Assumption*</w:t>
            </w:r>
          </w:p>
        </w:tc>
        <w:tc>
          <w:tcPr>
            <w:tcW w:w="4580" w:type="dxa"/>
            <w:vAlign w:val="center"/>
          </w:tcPr>
          <w:p w14:paraId="31F7B02E" w14:textId="77777777" w:rsidR="002D7D81" w:rsidRPr="00992EF8" w:rsidRDefault="002D7D81" w:rsidP="002D7D81">
            <w:pPr>
              <w:rPr>
                <w:rFonts w:asciiTheme="majorHAnsi" w:hAnsiTheme="majorHAnsi"/>
                <w:b/>
                <w:sz w:val="22"/>
                <w:szCs w:val="22"/>
              </w:rPr>
            </w:pPr>
            <w:r w:rsidRPr="00992EF8">
              <w:rPr>
                <w:rFonts w:asciiTheme="majorHAnsi" w:hAnsiTheme="majorHAnsi"/>
                <w:b/>
                <w:sz w:val="22"/>
                <w:szCs w:val="22"/>
              </w:rPr>
              <w:t>Rationale</w:t>
            </w:r>
          </w:p>
        </w:tc>
      </w:tr>
      <w:tr w:rsidR="002D7D81" w:rsidRPr="00992EF8" w14:paraId="5840C186" w14:textId="77777777" w:rsidTr="00E26467">
        <w:tc>
          <w:tcPr>
            <w:tcW w:w="1384" w:type="dxa"/>
            <w:vAlign w:val="center"/>
          </w:tcPr>
          <w:p w14:paraId="46335CAE"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Life expectancy</w:t>
            </w:r>
          </w:p>
        </w:tc>
        <w:tc>
          <w:tcPr>
            <w:tcW w:w="2552" w:type="dxa"/>
            <w:vAlign w:val="center"/>
          </w:tcPr>
          <w:p w14:paraId="3B77694F"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Couples - age 100</w:t>
            </w:r>
          </w:p>
          <w:p w14:paraId="6F0FDD54"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 xml:space="preserve">Individuals – age 95 </w:t>
            </w:r>
          </w:p>
        </w:tc>
        <w:tc>
          <w:tcPr>
            <w:tcW w:w="4580" w:type="dxa"/>
            <w:vAlign w:val="center"/>
          </w:tcPr>
          <w:p w14:paraId="4EAAD35B"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There’s a 1 in 4 chance that one person in a couple will be alive at age 100.</w:t>
            </w:r>
          </w:p>
          <w:p w14:paraId="0A7B1D02" w14:textId="77777777" w:rsidR="002D7D81" w:rsidRPr="00A37AE9" w:rsidRDefault="002D7D81" w:rsidP="002D7D81">
            <w:pPr>
              <w:rPr>
                <w:rFonts w:asciiTheme="majorHAnsi" w:hAnsiTheme="majorHAnsi"/>
                <w:sz w:val="20"/>
                <w:szCs w:val="20"/>
              </w:rPr>
            </w:pPr>
          </w:p>
          <w:p w14:paraId="30148C20"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There’s a 1 in 4 chance that an individual will live to age 95 (see appendix).</w:t>
            </w:r>
          </w:p>
          <w:p w14:paraId="1F507C85" w14:textId="77777777" w:rsidR="002D7D81" w:rsidRPr="00A37AE9" w:rsidRDefault="002D7D81" w:rsidP="002D7D81">
            <w:pPr>
              <w:rPr>
                <w:rFonts w:asciiTheme="majorHAnsi" w:hAnsiTheme="majorHAnsi"/>
                <w:sz w:val="20"/>
                <w:szCs w:val="20"/>
              </w:rPr>
            </w:pPr>
          </w:p>
          <w:p w14:paraId="6DC5CC6F"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Life expectancy adjusted dependent on clients circumstances / health / views</w:t>
            </w:r>
          </w:p>
        </w:tc>
      </w:tr>
      <w:tr w:rsidR="002D7D81" w:rsidRPr="00992EF8" w14:paraId="7BA6E73B" w14:textId="77777777" w:rsidTr="00E26467">
        <w:tc>
          <w:tcPr>
            <w:tcW w:w="1384" w:type="dxa"/>
            <w:vAlign w:val="center"/>
          </w:tcPr>
          <w:p w14:paraId="58BEC39D"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Property Prices</w:t>
            </w:r>
          </w:p>
        </w:tc>
        <w:tc>
          <w:tcPr>
            <w:tcW w:w="2552" w:type="dxa"/>
            <w:vAlign w:val="center"/>
          </w:tcPr>
          <w:p w14:paraId="29633973"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4.00% (Nominal)</w:t>
            </w:r>
          </w:p>
          <w:p w14:paraId="5E9FBB54" w14:textId="08DEF0EF" w:rsidR="002D7D81" w:rsidRPr="00A37AE9" w:rsidRDefault="00184480" w:rsidP="002D7D81">
            <w:pPr>
              <w:rPr>
                <w:rFonts w:asciiTheme="majorHAnsi" w:hAnsiTheme="majorHAnsi"/>
                <w:sz w:val="20"/>
                <w:szCs w:val="20"/>
              </w:rPr>
            </w:pPr>
            <w:r w:rsidRPr="007008A8">
              <w:rPr>
                <w:rFonts w:asciiTheme="majorHAnsi" w:hAnsiTheme="majorHAnsi"/>
                <w:color w:val="00B050"/>
                <w:sz w:val="20"/>
                <w:szCs w:val="20"/>
              </w:rPr>
              <w:t>1.20</w:t>
            </w:r>
            <w:r w:rsidR="002D7D81" w:rsidRPr="007008A8">
              <w:rPr>
                <w:rFonts w:asciiTheme="majorHAnsi" w:hAnsiTheme="majorHAnsi"/>
                <w:color w:val="00B050"/>
                <w:sz w:val="20"/>
                <w:szCs w:val="20"/>
              </w:rPr>
              <w:t>% (Real)</w:t>
            </w:r>
          </w:p>
        </w:tc>
        <w:tc>
          <w:tcPr>
            <w:tcW w:w="4580" w:type="dxa"/>
            <w:vAlign w:val="center"/>
          </w:tcPr>
          <w:p w14:paraId="30E27B74"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Property historically has delivered a positive real return. The real return is likely to be lower in the future.</w:t>
            </w:r>
          </w:p>
        </w:tc>
      </w:tr>
      <w:tr w:rsidR="002D7D81" w:rsidRPr="00992EF8" w14:paraId="3914C221" w14:textId="77777777" w:rsidTr="00E26467">
        <w:tc>
          <w:tcPr>
            <w:tcW w:w="1384" w:type="dxa"/>
            <w:vAlign w:val="center"/>
          </w:tcPr>
          <w:p w14:paraId="4D01B752"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Rental Income</w:t>
            </w:r>
          </w:p>
        </w:tc>
        <w:tc>
          <w:tcPr>
            <w:tcW w:w="2552" w:type="dxa"/>
            <w:vAlign w:val="center"/>
          </w:tcPr>
          <w:p w14:paraId="55E2AC6A"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2.80% (Nominal)</w:t>
            </w:r>
          </w:p>
          <w:p w14:paraId="73FD405C"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0.00% (Real)</w:t>
            </w:r>
          </w:p>
        </w:tc>
        <w:tc>
          <w:tcPr>
            <w:tcW w:w="4580" w:type="dxa"/>
            <w:vAlign w:val="center"/>
          </w:tcPr>
          <w:p w14:paraId="559B122A"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Data for rental income supports projected growth in line with inflation.</w:t>
            </w:r>
          </w:p>
        </w:tc>
      </w:tr>
      <w:tr w:rsidR="002D7D81" w:rsidRPr="00992EF8" w14:paraId="05D61726" w14:textId="77777777" w:rsidTr="00E26467">
        <w:tc>
          <w:tcPr>
            <w:tcW w:w="1384" w:type="dxa"/>
            <w:vAlign w:val="center"/>
          </w:tcPr>
          <w:p w14:paraId="6C6842E7"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Salary Growth Rate</w:t>
            </w:r>
          </w:p>
        </w:tc>
        <w:tc>
          <w:tcPr>
            <w:tcW w:w="2552" w:type="dxa"/>
            <w:vAlign w:val="center"/>
          </w:tcPr>
          <w:p w14:paraId="76DB8CBA" w14:textId="4143474E"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3.75% (Nominal)</w:t>
            </w:r>
            <w:r w:rsidR="00AB2569">
              <w:rPr>
                <w:rFonts w:asciiTheme="majorHAnsi" w:hAnsiTheme="majorHAnsi"/>
                <w:color w:val="00B050"/>
                <w:sz w:val="20"/>
                <w:szCs w:val="20"/>
              </w:rPr>
              <w:t xml:space="preserve"> </w:t>
            </w:r>
            <w:r w:rsidR="00AB2569">
              <w:rPr>
                <w:rStyle w:val="FootnoteReference"/>
                <w:rFonts w:asciiTheme="majorHAnsi" w:hAnsiTheme="majorHAnsi"/>
                <w:color w:val="00B050"/>
                <w:sz w:val="20"/>
                <w:szCs w:val="20"/>
              </w:rPr>
              <w:footnoteReference w:id="1"/>
            </w:r>
          </w:p>
          <w:p w14:paraId="5FB2C2AA" w14:textId="44894311" w:rsidR="00AB2569"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0.95% (Real)</w:t>
            </w:r>
          </w:p>
        </w:tc>
        <w:tc>
          <w:tcPr>
            <w:tcW w:w="4580" w:type="dxa"/>
            <w:vAlign w:val="center"/>
          </w:tcPr>
          <w:p w14:paraId="67E2E0C7"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Average earnings over the past 20 years.</w:t>
            </w:r>
          </w:p>
        </w:tc>
      </w:tr>
      <w:tr w:rsidR="002D7D81" w:rsidRPr="00992EF8" w14:paraId="6ED84077" w14:textId="77777777" w:rsidTr="00E26467">
        <w:tc>
          <w:tcPr>
            <w:tcW w:w="1384" w:type="dxa"/>
            <w:vAlign w:val="center"/>
          </w:tcPr>
          <w:p w14:paraId="5D6CCCE2"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Tax Allowances (Core)</w:t>
            </w:r>
          </w:p>
        </w:tc>
        <w:tc>
          <w:tcPr>
            <w:tcW w:w="2552" w:type="dxa"/>
            <w:vAlign w:val="center"/>
          </w:tcPr>
          <w:p w14:paraId="31FCE327"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2.80% (Nominal)</w:t>
            </w:r>
          </w:p>
          <w:p w14:paraId="4DA31BF8"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0.00% (Real)</w:t>
            </w:r>
          </w:p>
        </w:tc>
        <w:tc>
          <w:tcPr>
            <w:tcW w:w="4580" w:type="dxa"/>
            <w:vAlign w:val="center"/>
          </w:tcPr>
          <w:p w14:paraId="0574D9E8"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Analysis based on past allowance increases.</w:t>
            </w:r>
          </w:p>
        </w:tc>
      </w:tr>
      <w:tr w:rsidR="002D7D81" w:rsidRPr="00992EF8" w14:paraId="2912FD0F" w14:textId="77777777" w:rsidTr="00E26467">
        <w:tc>
          <w:tcPr>
            <w:tcW w:w="1384" w:type="dxa"/>
            <w:vAlign w:val="center"/>
          </w:tcPr>
          <w:p w14:paraId="792E155B"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Tax Allowances (Other)</w:t>
            </w:r>
          </w:p>
        </w:tc>
        <w:tc>
          <w:tcPr>
            <w:tcW w:w="2552" w:type="dxa"/>
            <w:vAlign w:val="center"/>
          </w:tcPr>
          <w:p w14:paraId="77F63546"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Pension/MPAA – 0.00%</w:t>
            </w:r>
          </w:p>
          <w:p w14:paraId="3B66A9F4"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LTA – CPI from 18/19</w:t>
            </w:r>
          </w:p>
          <w:p w14:paraId="6C92C24A"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R/NRB – CPI from 2021/22</w:t>
            </w:r>
          </w:p>
          <w:p w14:paraId="55348A1E" w14:textId="77777777" w:rsidR="002D7D81" w:rsidRPr="007008A8" w:rsidRDefault="002D7D81" w:rsidP="002D7D81">
            <w:pPr>
              <w:rPr>
                <w:rFonts w:asciiTheme="majorHAnsi" w:hAnsiTheme="majorHAnsi"/>
                <w:color w:val="00B050"/>
                <w:sz w:val="20"/>
                <w:szCs w:val="20"/>
              </w:rPr>
            </w:pPr>
            <w:r w:rsidRPr="007008A8">
              <w:rPr>
                <w:rFonts w:asciiTheme="majorHAnsi" w:hAnsiTheme="majorHAnsi"/>
                <w:color w:val="00B050"/>
                <w:sz w:val="20"/>
                <w:szCs w:val="20"/>
              </w:rPr>
              <w:t>EIS/VCT – 0.00%</w:t>
            </w:r>
          </w:p>
        </w:tc>
        <w:tc>
          <w:tcPr>
            <w:tcW w:w="4580" w:type="dxa"/>
            <w:vAlign w:val="center"/>
          </w:tcPr>
          <w:p w14:paraId="5BA376D7" w14:textId="77777777" w:rsidR="002D7D81" w:rsidRPr="00A37AE9" w:rsidRDefault="002D7D81" w:rsidP="002D7D81">
            <w:pPr>
              <w:rPr>
                <w:rFonts w:asciiTheme="majorHAnsi" w:hAnsiTheme="majorHAnsi"/>
                <w:sz w:val="20"/>
                <w:szCs w:val="20"/>
              </w:rPr>
            </w:pPr>
            <w:r w:rsidRPr="00A37AE9">
              <w:rPr>
                <w:rFonts w:asciiTheme="majorHAnsi" w:hAnsiTheme="majorHAnsi"/>
                <w:sz w:val="20"/>
                <w:szCs w:val="20"/>
              </w:rPr>
              <w:t>Based on current legislation and analysis of past allowance increases.</w:t>
            </w:r>
          </w:p>
        </w:tc>
      </w:tr>
    </w:tbl>
    <w:p w14:paraId="39D2FCE0" w14:textId="066FA086" w:rsidR="00312A25" w:rsidRPr="00992EF8" w:rsidRDefault="002D7D81" w:rsidP="002D7D81">
      <w:pPr>
        <w:pStyle w:val="Heading1"/>
      </w:pPr>
      <w:bookmarkStart w:id="2" w:name="_Toc394484436"/>
      <w:r>
        <w:t>System Preferences</w:t>
      </w:r>
      <w:bookmarkEnd w:id="2"/>
    </w:p>
    <w:tbl>
      <w:tblPr>
        <w:tblStyle w:val="TableGrid"/>
        <w:tblW w:w="0" w:type="auto"/>
        <w:tblLayout w:type="fixed"/>
        <w:tblLook w:val="04A0" w:firstRow="1" w:lastRow="0" w:firstColumn="1" w:lastColumn="0" w:noHBand="0" w:noVBand="1"/>
      </w:tblPr>
      <w:tblGrid>
        <w:gridCol w:w="1384"/>
        <w:gridCol w:w="2552"/>
        <w:gridCol w:w="4580"/>
      </w:tblGrid>
      <w:tr w:rsidR="00312A25" w:rsidRPr="00992EF8" w14:paraId="723EDB74" w14:textId="77777777" w:rsidTr="002D7D81">
        <w:tc>
          <w:tcPr>
            <w:tcW w:w="1384" w:type="dxa"/>
            <w:vAlign w:val="center"/>
          </w:tcPr>
          <w:p w14:paraId="51ECD159" w14:textId="77777777" w:rsidR="00312A25" w:rsidRPr="00A37AE9" w:rsidRDefault="00312A25" w:rsidP="00312A25">
            <w:pPr>
              <w:rPr>
                <w:rFonts w:asciiTheme="majorHAnsi" w:hAnsiTheme="majorHAnsi"/>
                <w:b/>
                <w:sz w:val="20"/>
                <w:szCs w:val="20"/>
              </w:rPr>
            </w:pPr>
            <w:r w:rsidRPr="00A37AE9">
              <w:rPr>
                <w:rFonts w:asciiTheme="majorHAnsi" w:hAnsiTheme="majorHAnsi"/>
                <w:b/>
                <w:sz w:val="20"/>
                <w:szCs w:val="20"/>
              </w:rPr>
              <w:t>Category</w:t>
            </w:r>
          </w:p>
        </w:tc>
        <w:tc>
          <w:tcPr>
            <w:tcW w:w="2552" w:type="dxa"/>
            <w:vAlign w:val="center"/>
          </w:tcPr>
          <w:p w14:paraId="05282352" w14:textId="2E90EB8A" w:rsidR="00312A25" w:rsidRPr="00A37AE9" w:rsidRDefault="00421BD1" w:rsidP="00312A25">
            <w:pPr>
              <w:rPr>
                <w:rFonts w:asciiTheme="majorHAnsi" w:hAnsiTheme="majorHAnsi"/>
                <w:b/>
                <w:sz w:val="20"/>
                <w:szCs w:val="20"/>
              </w:rPr>
            </w:pPr>
            <w:r w:rsidRPr="00A37AE9">
              <w:rPr>
                <w:rFonts w:asciiTheme="majorHAnsi" w:hAnsiTheme="majorHAnsi"/>
                <w:b/>
                <w:sz w:val="20"/>
                <w:szCs w:val="20"/>
              </w:rPr>
              <w:t>Default Assumption*</w:t>
            </w:r>
          </w:p>
        </w:tc>
        <w:tc>
          <w:tcPr>
            <w:tcW w:w="4580" w:type="dxa"/>
            <w:vAlign w:val="center"/>
          </w:tcPr>
          <w:p w14:paraId="6FDFA80D" w14:textId="77777777" w:rsidR="00312A25" w:rsidRPr="00A37AE9" w:rsidRDefault="00312A25" w:rsidP="00312A25">
            <w:pPr>
              <w:rPr>
                <w:rFonts w:asciiTheme="majorHAnsi" w:hAnsiTheme="majorHAnsi"/>
                <w:b/>
                <w:sz w:val="20"/>
                <w:szCs w:val="20"/>
              </w:rPr>
            </w:pPr>
            <w:r w:rsidRPr="00A37AE9">
              <w:rPr>
                <w:rFonts w:asciiTheme="majorHAnsi" w:hAnsiTheme="majorHAnsi"/>
                <w:b/>
                <w:sz w:val="20"/>
                <w:szCs w:val="20"/>
              </w:rPr>
              <w:t>Rationale</w:t>
            </w:r>
          </w:p>
        </w:tc>
      </w:tr>
      <w:tr w:rsidR="00312A25" w:rsidRPr="00992EF8" w14:paraId="77860FBD" w14:textId="77777777" w:rsidTr="002D7D81">
        <w:tc>
          <w:tcPr>
            <w:tcW w:w="1384" w:type="dxa"/>
            <w:vAlign w:val="center"/>
          </w:tcPr>
          <w:p w14:paraId="7075DE29" w14:textId="794EED5E"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Reinvest investment yield</w:t>
            </w:r>
          </w:p>
        </w:tc>
        <w:tc>
          <w:tcPr>
            <w:tcW w:w="2552" w:type="dxa"/>
            <w:vAlign w:val="center"/>
          </w:tcPr>
          <w:p w14:paraId="37DDFEE7" w14:textId="24B0B0F3"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Yes</w:t>
            </w:r>
          </w:p>
        </w:tc>
        <w:tc>
          <w:tcPr>
            <w:tcW w:w="4580" w:type="dxa"/>
            <w:vAlign w:val="center"/>
          </w:tcPr>
          <w:p w14:paraId="3BBA5CC7" w14:textId="4C91DD82" w:rsidR="00312A25" w:rsidRPr="00A37AE9" w:rsidRDefault="00421BD1" w:rsidP="00312A25">
            <w:pPr>
              <w:rPr>
                <w:rFonts w:asciiTheme="majorHAnsi" w:hAnsiTheme="majorHAnsi"/>
                <w:sz w:val="20"/>
                <w:szCs w:val="20"/>
              </w:rPr>
            </w:pPr>
            <w:r w:rsidRPr="00A37AE9">
              <w:rPr>
                <w:rFonts w:asciiTheme="majorHAnsi" w:hAnsiTheme="majorHAnsi"/>
                <w:sz w:val="20"/>
                <w:szCs w:val="20"/>
              </w:rPr>
              <w:t>Our investment philosophy is a total-returns approach to investing with income/dividends reinvested.</w:t>
            </w:r>
          </w:p>
        </w:tc>
      </w:tr>
      <w:tr w:rsidR="00312A25" w:rsidRPr="00992EF8" w14:paraId="4CABF637" w14:textId="77777777" w:rsidTr="002D7D81">
        <w:tc>
          <w:tcPr>
            <w:tcW w:w="1384" w:type="dxa"/>
            <w:vAlign w:val="center"/>
          </w:tcPr>
          <w:p w14:paraId="33DA846D" w14:textId="7C118853"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Spending order</w:t>
            </w:r>
          </w:p>
        </w:tc>
        <w:tc>
          <w:tcPr>
            <w:tcW w:w="2552" w:type="dxa"/>
            <w:vAlign w:val="center"/>
          </w:tcPr>
          <w:p w14:paraId="79BAFDD4" w14:textId="12AC4666" w:rsidR="00312A25" w:rsidRPr="007008A8" w:rsidRDefault="00421BD1" w:rsidP="00312A25">
            <w:pPr>
              <w:rPr>
                <w:rFonts w:asciiTheme="majorHAnsi" w:hAnsiTheme="majorHAnsi"/>
                <w:color w:val="00B050"/>
                <w:sz w:val="20"/>
                <w:szCs w:val="20"/>
              </w:rPr>
            </w:pPr>
            <w:r w:rsidRPr="007008A8">
              <w:rPr>
                <w:rFonts w:asciiTheme="majorHAnsi" w:hAnsiTheme="majorHAnsi"/>
                <w:color w:val="00B050"/>
                <w:sz w:val="20"/>
                <w:szCs w:val="20"/>
              </w:rPr>
              <w:t>1</w:t>
            </w:r>
            <w:r w:rsidRPr="007008A8">
              <w:rPr>
                <w:rFonts w:asciiTheme="majorHAnsi" w:hAnsiTheme="majorHAnsi"/>
                <w:color w:val="00B050"/>
                <w:sz w:val="20"/>
                <w:szCs w:val="20"/>
                <w:vertAlign w:val="superscript"/>
              </w:rPr>
              <w:t>st</w:t>
            </w:r>
            <w:r w:rsidRPr="007008A8">
              <w:rPr>
                <w:rFonts w:asciiTheme="majorHAnsi" w:hAnsiTheme="majorHAnsi"/>
                <w:color w:val="00B050"/>
                <w:sz w:val="20"/>
                <w:szCs w:val="20"/>
              </w:rPr>
              <w:t xml:space="preserve"> – Taxable</w:t>
            </w:r>
          </w:p>
          <w:p w14:paraId="71E3464E" w14:textId="77777777" w:rsidR="00421BD1" w:rsidRPr="007008A8" w:rsidRDefault="00421BD1" w:rsidP="00312A25">
            <w:pPr>
              <w:rPr>
                <w:rFonts w:asciiTheme="majorHAnsi" w:hAnsiTheme="majorHAnsi"/>
                <w:color w:val="00B050"/>
                <w:sz w:val="20"/>
                <w:szCs w:val="20"/>
              </w:rPr>
            </w:pPr>
            <w:r w:rsidRPr="007008A8">
              <w:rPr>
                <w:rFonts w:asciiTheme="majorHAnsi" w:hAnsiTheme="majorHAnsi"/>
                <w:color w:val="00B050"/>
                <w:sz w:val="20"/>
                <w:szCs w:val="20"/>
              </w:rPr>
              <w:t>2</w:t>
            </w:r>
            <w:r w:rsidRPr="007008A8">
              <w:rPr>
                <w:rFonts w:asciiTheme="majorHAnsi" w:hAnsiTheme="majorHAnsi"/>
                <w:color w:val="00B050"/>
                <w:sz w:val="20"/>
                <w:szCs w:val="20"/>
                <w:vertAlign w:val="superscript"/>
              </w:rPr>
              <w:t>nd</w:t>
            </w:r>
            <w:r w:rsidRPr="007008A8">
              <w:rPr>
                <w:rFonts w:asciiTheme="majorHAnsi" w:hAnsiTheme="majorHAnsi"/>
                <w:color w:val="00B050"/>
                <w:sz w:val="20"/>
                <w:szCs w:val="20"/>
              </w:rPr>
              <w:t xml:space="preserve"> – Tax free</w:t>
            </w:r>
          </w:p>
          <w:p w14:paraId="611721C9" w14:textId="5A8F5B93" w:rsidR="00421BD1" w:rsidRPr="007008A8" w:rsidRDefault="00421BD1" w:rsidP="00312A25">
            <w:pPr>
              <w:rPr>
                <w:rFonts w:asciiTheme="majorHAnsi" w:hAnsiTheme="majorHAnsi"/>
                <w:color w:val="00B050"/>
                <w:sz w:val="20"/>
                <w:szCs w:val="20"/>
              </w:rPr>
            </w:pPr>
            <w:r w:rsidRPr="007008A8">
              <w:rPr>
                <w:rFonts w:asciiTheme="majorHAnsi" w:hAnsiTheme="majorHAnsi"/>
                <w:color w:val="00B050"/>
                <w:sz w:val="20"/>
                <w:szCs w:val="20"/>
              </w:rPr>
              <w:t>3</w:t>
            </w:r>
            <w:r w:rsidRPr="007008A8">
              <w:rPr>
                <w:rFonts w:asciiTheme="majorHAnsi" w:hAnsiTheme="majorHAnsi"/>
                <w:color w:val="00B050"/>
                <w:sz w:val="20"/>
                <w:szCs w:val="20"/>
                <w:vertAlign w:val="superscript"/>
              </w:rPr>
              <w:t>rd</w:t>
            </w:r>
            <w:r w:rsidRPr="007008A8">
              <w:rPr>
                <w:rFonts w:asciiTheme="majorHAnsi" w:hAnsiTheme="majorHAnsi"/>
                <w:color w:val="00B050"/>
                <w:sz w:val="20"/>
                <w:szCs w:val="20"/>
              </w:rPr>
              <w:t xml:space="preserve"> – Tax deferred</w:t>
            </w:r>
          </w:p>
        </w:tc>
        <w:tc>
          <w:tcPr>
            <w:tcW w:w="4580" w:type="dxa"/>
            <w:vAlign w:val="center"/>
          </w:tcPr>
          <w:p w14:paraId="4F781434" w14:textId="2E371B03" w:rsidR="00312A25" w:rsidRPr="00A37AE9" w:rsidRDefault="00421BD1" w:rsidP="00312A25">
            <w:pPr>
              <w:rPr>
                <w:rFonts w:asciiTheme="majorHAnsi" w:hAnsiTheme="majorHAnsi"/>
                <w:sz w:val="20"/>
                <w:szCs w:val="20"/>
              </w:rPr>
            </w:pPr>
            <w:r w:rsidRPr="00A37AE9">
              <w:rPr>
                <w:rFonts w:asciiTheme="majorHAnsi" w:hAnsiTheme="majorHAnsi"/>
                <w:sz w:val="20"/>
                <w:szCs w:val="20"/>
              </w:rPr>
              <w:t>This is the most tax-efficient spending order for assets.</w:t>
            </w:r>
          </w:p>
        </w:tc>
      </w:tr>
      <w:tr w:rsidR="00312A25" w:rsidRPr="00992EF8" w14:paraId="2A40C08C" w14:textId="77777777" w:rsidTr="002D7D81">
        <w:tc>
          <w:tcPr>
            <w:tcW w:w="1384" w:type="dxa"/>
            <w:vAlign w:val="center"/>
          </w:tcPr>
          <w:p w14:paraId="17B3332E" w14:textId="370D0331"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Save excess income</w:t>
            </w:r>
          </w:p>
        </w:tc>
        <w:tc>
          <w:tcPr>
            <w:tcW w:w="2552" w:type="dxa"/>
            <w:vAlign w:val="center"/>
          </w:tcPr>
          <w:p w14:paraId="50BF1E83" w14:textId="1D2F8638" w:rsidR="00312A25" w:rsidRPr="007008A8" w:rsidRDefault="00421BD1" w:rsidP="00312A25">
            <w:pPr>
              <w:rPr>
                <w:rFonts w:asciiTheme="majorHAnsi" w:hAnsiTheme="majorHAnsi"/>
                <w:color w:val="00B050"/>
                <w:sz w:val="20"/>
                <w:szCs w:val="20"/>
              </w:rPr>
            </w:pPr>
            <w:r w:rsidRPr="007008A8">
              <w:rPr>
                <w:rFonts w:asciiTheme="majorHAnsi" w:hAnsiTheme="majorHAnsi"/>
                <w:color w:val="00B050"/>
                <w:sz w:val="20"/>
                <w:szCs w:val="20"/>
              </w:rPr>
              <w:t>No</w:t>
            </w:r>
          </w:p>
        </w:tc>
        <w:tc>
          <w:tcPr>
            <w:tcW w:w="4580" w:type="dxa"/>
            <w:vAlign w:val="center"/>
          </w:tcPr>
          <w:p w14:paraId="4F026746" w14:textId="45A0F321" w:rsidR="00421BD1" w:rsidRPr="00A37AE9" w:rsidRDefault="00421BD1" w:rsidP="00421BD1">
            <w:pPr>
              <w:rPr>
                <w:rFonts w:asciiTheme="majorHAnsi" w:hAnsiTheme="majorHAnsi"/>
                <w:sz w:val="20"/>
                <w:szCs w:val="20"/>
              </w:rPr>
            </w:pPr>
            <w:r w:rsidRPr="00A37AE9">
              <w:rPr>
                <w:rFonts w:asciiTheme="majorHAnsi" w:hAnsiTheme="majorHAnsi"/>
                <w:sz w:val="20"/>
                <w:szCs w:val="20"/>
              </w:rPr>
              <w:t xml:space="preserve">Saving surplus income creates a risk that the clients plan relies on saving income they don’t intend to or actually save. </w:t>
            </w:r>
          </w:p>
        </w:tc>
      </w:tr>
      <w:tr w:rsidR="00312A25" w:rsidRPr="00992EF8" w14:paraId="4799EE5C" w14:textId="77777777" w:rsidTr="002D7D81">
        <w:tc>
          <w:tcPr>
            <w:tcW w:w="1384" w:type="dxa"/>
            <w:vAlign w:val="center"/>
          </w:tcPr>
          <w:p w14:paraId="18B0780A" w14:textId="775A19A2"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Account Fees</w:t>
            </w:r>
          </w:p>
        </w:tc>
        <w:tc>
          <w:tcPr>
            <w:tcW w:w="2552" w:type="dxa"/>
            <w:vAlign w:val="center"/>
          </w:tcPr>
          <w:p w14:paraId="19FDE708" w14:textId="4362015E" w:rsidR="00421BD1" w:rsidRPr="007008A8" w:rsidRDefault="00421BD1" w:rsidP="00421BD1">
            <w:pPr>
              <w:rPr>
                <w:rFonts w:asciiTheme="majorHAnsi" w:hAnsiTheme="majorHAnsi"/>
                <w:color w:val="00B050"/>
                <w:sz w:val="20"/>
                <w:szCs w:val="20"/>
              </w:rPr>
            </w:pPr>
            <w:r w:rsidRPr="007008A8">
              <w:rPr>
                <w:rFonts w:asciiTheme="majorHAnsi" w:hAnsiTheme="majorHAnsi"/>
                <w:color w:val="00B050"/>
                <w:sz w:val="20"/>
                <w:szCs w:val="20"/>
              </w:rPr>
              <w:t>0.00%</w:t>
            </w:r>
          </w:p>
          <w:p w14:paraId="59C8D596" w14:textId="77777777" w:rsidR="00312A25" w:rsidRPr="007008A8" w:rsidRDefault="00312A25" w:rsidP="00421BD1">
            <w:pPr>
              <w:rPr>
                <w:rFonts w:asciiTheme="majorHAnsi" w:hAnsiTheme="majorHAnsi"/>
                <w:color w:val="00B050"/>
                <w:sz w:val="20"/>
                <w:szCs w:val="20"/>
              </w:rPr>
            </w:pPr>
          </w:p>
        </w:tc>
        <w:tc>
          <w:tcPr>
            <w:tcW w:w="4580" w:type="dxa"/>
            <w:vAlign w:val="center"/>
          </w:tcPr>
          <w:p w14:paraId="3E4DBEB5" w14:textId="73F1C56B" w:rsidR="00312A25" w:rsidRPr="00A37AE9" w:rsidRDefault="00421BD1" w:rsidP="00312A25">
            <w:pPr>
              <w:rPr>
                <w:rFonts w:asciiTheme="majorHAnsi" w:hAnsiTheme="majorHAnsi"/>
                <w:sz w:val="20"/>
                <w:szCs w:val="20"/>
              </w:rPr>
            </w:pPr>
            <w:r w:rsidRPr="00A37AE9">
              <w:rPr>
                <w:rFonts w:asciiTheme="majorHAnsi" w:hAnsiTheme="majorHAnsi"/>
                <w:sz w:val="20"/>
                <w:szCs w:val="20"/>
              </w:rPr>
              <w:t>None stated as benchmark return figures are net of all charges.</w:t>
            </w:r>
          </w:p>
        </w:tc>
      </w:tr>
      <w:tr w:rsidR="00312A25" w:rsidRPr="00992EF8" w14:paraId="0E54906D" w14:textId="77777777" w:rsidTr="002D7D81">
        <w:tc>
          <w:tcPr>
            <w:tcW w:w="1384" w:type="dxa"/>
            <w:vAlign w:val="center"/>
          </w:tcPr>
          <w:p w14:paraId="72578221" w14:textId="7C604391"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lastRenderedPageBreak/>
              <w:t>Life insurance proceeds</w:t>
            </w:r>
          </w:p>
        </w:tc>
        <w:tc>
          <w:tcPr>
            <w:tcW w:w="2552" w:type="dxa"/>
            <w:vAlign w:val="center"/>
          </w:tcPr>
          <w:p w14:paraId="22282AC5" w14:textId="659DDD6E" w:rsidR="00312A25" w:rsidRPr="007008A8" w:rsidRDefault="00312A25" w:rsidP="00312A25">
            <w:pPr>
              <w:rPr>
                <w:rFonts w:asciiTheme="majorHAnsi" w:hAnsiTheme="majorHAnsi"/>
                <w:color w:val="00B050"/>
                <w:sz w:val="20"/>
                <w:szCs w:val="20"/>
              </w:rPr>
            </w:pPr>
            <w:r w:rsidRPr="007008A8">
              <w:rPr>
                <w:rFonts w:asciiTheme="majorHAnsi" w:hAnsiTheme="majorHAnsi"/>
                <w:color w:val="00B050"/>
                <w:sz w:val="20"/>
                <w:szCs w:val="20"/>
              </w:rPr>
              <w:t xml:space="preserve">Invested </w:t>
            </w:r>
          </w:p>
        </w:tc>
        <w:tc>
          <w:tcPr>
            <w:tcW w:w="4580" w:type="dxa"/>
            <w:vAlign w:val="center"/>
          </w:tcPr>
          <w:p w14:paraId="7444B6ED" w14:textId="50B49FEE" w:rsidR="00312A25" w:rsidRPr="00A37AE9" w:rsidRDefault="00312A25" w:rsidP="00312A25">
            <w:pPr>
              <w:rPr>
                <w:rFonts w:asciiTheme="majorHAnsi" w:hAnsiTheme="majorHAnsi"/>
                <w:sz w:val="20"/>
                <w:szCs w:val="20"/>
              </w:rPr>
            </w:pPr>
            <w:r w:rsidRPr="00A37AE9">
              <w:rPr>
                <w:rFonts w:asciiTheme="majorHAnsi" w:hAnsiTheme="majorHAnsi"/>
                <w:sz w:val="20"/>
                <w:szCs w:val="20"/>
              </w:rPr>
              <w:t xml:space="preserve">Where an individual receives a lump sum proceed from life insurance, it is assumed that surplus funds will be invested. </w:t>
            </w:r>
          </w:p>
          <w:p w14:paraId="0A1F08A5" w14:textId="77777777" w:rsidR="00312A25" w:rsidRPr="00A37AE9" w:rsidRDefault="00312A25" w:rsidP="00312A25">
            <w:pPr>
              <w:rPr>
                <w:rFonts w:asciiTheme="majorHAnsi" w:hAnsiTheme="majorHAnsi"/>
                <w:sz w:val="20"/>
                <w:szCs w:val="20"/>
              </w:rPr>
            </w:pPr>
          </w:p>
          <w:p w14:paraId="79FD87ED" w14:textId="639B57F6" w:rsidR="00312A25" w:rsidRPr="00A37AE9" w:rsidRDefault="00312A25" w:rsidP="00312A25">
            <w:pPr>
              <w:rPr>
                <w:rFonts w:asciiTheme="majorHAnsi" w:hAnsiTheme="majorHAnsi"/>
                <w:sz w:val="20"/>
                <w:szCs w:val="20"/>
              </w:rPr>
            </w:pPr>
            <w:r w:rsidRPr="00A37AE9">
              <w:rPr>
                <w:rFonts w:asciiTheme="majorHAnsi" w:hAnsiTheme="majorHAnsi"/>
                <w:sz w:val="20"/>
                <w:szCs w:val="20"/>
              </w:rPr>
              <w:t>Funds are assumed to be invested as the individual will want to protect the proceeds from being eroded by inflation over the long-term.</w:t>
            </w:r>
          </w:p>
        </w:tc>
      </w:tr>
    </w:tbl>
    <w:p w14:paraId="3EBEF4CB" w14:textId="0B2A8681" w:rsidR="00BF431C" w:rsidRPr="00992EF8" w:rsidRDefault="00BF431C">
      <w:pPr>
        <w:rPr>
          <w:rFonts w:asciiTheme="majorHAnsi" w:hAnsiTheme="majorHAnsi"/>
          <w:sz w:val="22"/>
          <w:szCs w:val="22"/>
        </w:rPr>
      </w:pPr>
    </w:p>
    <w:p w14:paraId="58C61BC6" w14:textId="30A5A907" w:rsidR="00BF431C" w:rsidRPr="00992EF8" w:rsidRDefault="00421BD1" w:rsidP="00BF431C">
      <w:pPr>
        <w:rPr>
          <w:rFonts w:asciiTheme="majorHAnsi" w:hAnsiTheme="majorHAnsi"/>
          <w:i/>
          <w:sz w:val="22"/>
          <w:szCs w:val="22"/>
        </w:rPr>
      </w:pPr>
      <w:r w:rsidRPr="00992EF8">
        <w:rPr>
          <w:rFonts w:asciiTheme="majorHAnsi" w:hAnsiTheme="majorHAnsi"/>
          <w:i/>
          <w:sz w:val="22"/>
          <w:szCs w:val="22"/>
        </w:rPr>
        <w:t>* Where clients exhibit a different behaviour or have a different view to the default assumptions, adjustments will be made.</w:t>
      </w:r>
    </w:p>
    <w:p w14:paraId="150F43DD" w14:textId="77777777" w:rsidR="00E26467" w:rsidRDefault="00E26467">
      <w:pPr>
        <w:rPr>
          <w:rFonts w:asciiTheme="majorHAnsi" w:eastAsiaTheme="majorEastAsia" w:hAnsiTheme="majorHAnsi" w:cstheme="majorBidi"/>
          <w:b/>
          <w:bCs/>
          <w:sz w:val="32"/>
          <w:szCs w:val="32"/>
        </w:rPr>
      </w:pPr>
      <w:r>
        <w:br w:type="page"/>
      </w:r>
    </w:p>
    <w:p w14:paraId="27F06BD2" w14:textId="15DE87DF" w:rsidR="00B35758" w:rsidRPr="00992EF8" w:rsidRDefault="00B35758" w:rsidP="002D7D81">
      <w:pPr>
        <w:pStyle w:val="Heading1"/>
      </w:pPr>
      <w:bookmarkStart w:id="3" w:name="_Toc394484437"/>
      <w:r w:rsidRPr="00992EF8">
        <w:lastRenderedPageBreak/>
        <w:t>References</w:t>
      </w:r>
      <w:bookmarkEnd w:id="3"/>
    </w:p>
    <w:p w14:paraId="4D652045" w14:textId="77777777" w:rsidR="00B35758" w:rsidRPr="00992EF8" w:rsidRDefault="00B35758">
      <w:pPr>
        <w:rPr>
          <w:rFonts w:asciiTheme="majorHAnsi" w:hAnsiTheme="majorHAnsi"/>
          <w:b/>
          <w:sz w:val="22"/>
          <w:szCs w:val="22"/>
        </w:rPr>
      </w:pPr>
    </w:p>
    <w:p w14:paraId="6B67B81D" w14:textId="77777777" w:rsidR="006A74D9" w:rsidRPr="00992EF8" w:rsidRDefault="006A74D9">
      <w:pPr>
        <w:rPr>
          <w:rFonts w:asciiTheme="majorHAnsi" w:hAnsiTheme="majorHAnsi"/>
          <w:sz w:val="22"/>
          <w:szCs w:val="22"/>
        </w:rPr>
      </w:pPr>
      <w:r w:rsidRPr="00992EF8">
        <w:rPr>
          <w:rFonts w:asciiTheme="majorHAnsi" w:hAnsiTheme="majorHAnsi"/>
          <w:sz w:val="22"/>
          <w:szCs w:val="22"/>
        </w:rPr>
        <w:t xml:space="preserve">Allocation Blog (2016) Barclays Equity &amp; Gilt Study 2016 </w:t>
      </w:r>
      <w:hyperlink r:id="rId10" w:history="1">
        <w:r w:rsidRPr="00992EF8">
          <w:rPr>
            <w:rStyle w:val="Hyperlink"/>
            <w:rFonts w:asciiTheme="majorHAnsi" w:hAnsiTheme="majorHAnsi"/>
            <w:sz w:val="22"/>
            <w:szCs w:val="22"/>
          </w:rPr>
          <w:t>https://www.allocationblog.com/content/.../3/.../Equity-Gilt-Study-2016.compressed.pdf</w:t>
        </w:r>
      </w:hyperlink>
      <w:r w:rsidRPr="00992EF8">
        <w:rPr>
          <w:rFonts w:asciiTheme="majorHAnsi" w:hAnsiTheme="majorHAnsi"/>
          <w:sz w:val="22"/>
          <w:szCs w:val="22"/>
        </w:rPr>
        <w:t xml:space="preserve"> </w:t>
      </w:r>
    </w:p>
    <w:p w14:paraId="2EE2619E" w14:textId="77777777" w:rsidR="006A74D9" w:rsidRPr="00992EF8" w:rsidRDefault="006A74D9">
      <w:pPr>
        <w:rPr>
          <w:rFonts w:asciiTheme="majorHAnsi" w:hAnsiTheme="majorHAnsi"/>
          <w:sz w:val="22"/>
          <w:szCs w:val="22"/>
        </w:rPr>
      </w:pPr>
    </w:p>
    <w:p w14:paraId="3B93CDC2" w14:textId="050F1697" w:rsidR="00B35758" w:rsidRPr="00992EF8" w:rsidRDefault="00B35758">
      <w:pPr>
        <w:rPr>
          <w:rFonts w:asciiTheme="majorHAnsi" w:hAnsiTheme="majorHAnsi"/>
          <w:sz w:val="22"/>
          <w:szCs w:val="22"/>
        </w:rPr>
      </w:pPr>
      <w:r w:rsidRPr="00992EF8">
        <w:rPr>
          <w:rFonts w:asciiTheme="majorHAnsi" w:hAnsiTheme="majorHAnsi"/>
          <w:sz w:val="22"/>
          <w:szCs w:val="22"/>
        </w:rPr>
        <w:t xml:space="preserve">Cox (2015) </w:t>
      </w:r>
      <w:hyperlink r:id="rId11" w:history="1">
        <w:r w:rsidRPr="00992EF8">
          <w:rPr>
            <w:rStyle w:val="Hyperlink"/>
            <w:rFonts w:asciiTheme="majorHAnsi" w:hAnsiTheme="majorHAnsi"/>
            <w:sz w:val="22"/>
            <w:szCs w:val="22"/>
          </w:rPr>
          <w:t>https://professionaladviser.com/digital_assets/8871/Paul_Cox_Report.pdf</w:t>
        </w:r>
      </w:hyperlink>
      <w:r w:rsidRPr="00992EF8">
        <w:rPr>
          <w:rFonts w:asciiTheme="majorHAnsi" w:hAnsiTheme="majorHAnsi"/>
          <w:sz w:val="22"/>
          <w:szCs w:val="22"/>
        </w:rPr>
        <w:t xml:space="preserve"> </w:t>
      </w:r>
    </w:p>
    <w:p w14:paraId="07EC0E7E" w14:textId="77777777" w:rsidR="00BF431C" w:rsidRPr="00992EF8" w:rsidRDefault="00BF431C">
      <w:pPr>
        <w:rPr>
          <w:rFonts w:asciiTheme="majorHAnsi" w:hAnsiTheme="majorHAnsi"/>
          <w:sz w:val="22"/>
          <w:szCs w:val="22"/>
        </w:rPr>
      </w:pPr>
    </w:p>
    <w:p w14:paraId="29B9A062" w14:textId="0D91FD4E" w:rsidR="00527C07" w:rsidRPr="00992EF8" w:rsidRDefault="00527C07" w:rsidP="00527C07">
      <w:pPr>
        <w:rPr>
          <w:rFonts w:asciiTheme="majorHAnsi" w:hAnsiTheme="majorHAnsi"/>
          <w:sz w:val="22"/>
          <w:szCs w:val="22"/>
        </w:rPr>
      </w:pPr>
      <w:r w:rsidRPr="00992EF8">
        <w:rPr>
          <w:rFonts w:asciiTheme="majorHAnsi" w:hAnsiTheme="majorHAnsi"/>
          <w:sz w:val="22"/>
          <w:szCs w:val="22"/>
        </w:rPr>
        <w:t>Dimensional (2018) Pursuing a Better Investment Experience</w:t>
      </w:r>
    </w:p>
    <w:p w14:paraId="6E50B842" w14:textId="77777777" w:rsidR="00527C07" w:rsidRPr="00992EF8" w:rsidRDefault="00527C07">
      <w:pPr>
        <w:rPr>
          <w:rFonts w:asciiTheme="majorHAnsi" w:hAnsiTheme="majorHAnsi"/>
          <w:sz w:val="22"/>
          <w:szCs w:val="22"/>
        </w:rPr>
      </w:pPr>
    </w:p>
    <w:p w14:paraId="05F49AFE" w14:textId="16E6CD53" w:rsidR="00BF431C" w:rsidRPr="00992EF8" w:rsidRDefault="00BF431C">
      <w:pPr>
        <w:rPr>
          <w:rFonts w:asciiTheme="majorHAnsi" w:hAnsiTheme="majorHAnsi"/>
          <w:sz w:val="22"/>
          <w:szCs w:val="22"/>
        </w:rPr>
      </w:pPr>
      <w:r w:rsidRPr="00992EF8">
        <w:rPr>
          <w:rFonts w:asciiTheme="majorHAnsi" w:hAnsiTheme="majorHAnsi"/>
          <w:sz w:val="22"/>
          <w:szCs w:val="22"/>
        </w:rPr>
        <w:t xml:space="preserve">Finalytiq (2016) </w:t>
      </w:r>
      <w:hyperlink r:id="rId12" w:history="1">
        <w:r w:rsidRPr="00992EF8">
          <w:rPr>
            <w:rStyle w:val="Hyperlink"/>
            <w:rFonts w:asciiTheme="majorHAnsi" w:hAnsiTheme="majorHAnsi"/>
            <w:sz w:val="22"/>
            <w:szCs w:val="22"/>
          </w:rPr>
          <w:t>https://finalytiq.co.uk/longevity/</w:t>
        </w:r>
      </w:hyperlink>
      <w:r w:rsidRPr="00992EF8">
        <w:rPr>
          <w:rFonts w:asciiTheme="majorHAnsi" w:hAnsiTheme="majorHAnsi"/>
          <w:sz w:val="22"/>
          <w:szCs w:val="22"/>
        </w:rPr>
        <w:t xml:space="preserve"> </w:t>
      </w:r>
    </w:p>
    <w:p w14:paraId="10FA3E22" w14:textId="77777777" w:rsidR="00ED12E4" w:rsidRPr="00992EF8" w:rsidRDefault="00ED12E4">
      <w:pPr>
        <w:rPr>
          <w:rFonts w:asciiTheme="majorHAnsi" w:hAnsiTheme="majorHAnsi"/>
          <w:sz w:val="22"/>
          <w:szCs w:val="22"/>
        </w:rPr>
      </w:pPr>
    </w:p>
    <w:p w14:paraId="6B2E49CF" w14:textId="26DB8A19" w:rsidR="00ED12E4" w:rsidRPr="00992EF8" w:rsidRDefault="00ED12E4">
      <w:pPr>
        <w:rPr>
          <w:rFonts w:asciiTheme="majorHAnsi" w:hAnsiTheme="majorHAnsi"/>
          <w:sz w:val="22"/>
          <w:szCs w:val="22"/>
        </w:rPr>
      </w:pPr>
      <w:r w:rsidRPr="00992EF8">
        <w:rPr>
          <w:rFonts w:asciiTheme="majorHAnsi" w:hAnsiTheme="majorHAnsi"/>
          <w:sz w:val="22"/>
          <w:szCs w:val="22"/>
        </w:rPr>
        <w:t xml:space="preserve">FCA (2017) Rates of return for FCA prescribed projections </w:t>
      </w:r>
      <w:hyperlink r:id="rId13" w:history="1">
        <w:r w:rsidRPr="00992EF8">
          <w:rPr>
            <w:rStyle w:val="Hyperlink"/>
            <w:rFonts w:asciiTheme="majorHAnsi" w:hAnsiTheme="majorHAnsi"/>
            <w:sz w:val="22"/>
            <w:szCs w:val="22"/>
          </w:rPr>
          <w:t>https://www.fca.org.uk/publication/research/rates-return-fca-prescribed-projections.pdf</w:t>
        </w:r>
      </w:hyperlink>
      <w:r w:rsidRPr="00992EF8">
        <w:rPr>
          <w:rFonts w:asciiTheme="majorHAnsi" w:hAnsiTheme="majorHAnsi"/>
          <w:sz w:val="22"/>
          <w:szCs w:val="22"/>
        </w:rPr>
        <w:t xml:space="preserve"> s</w:t>
      </w:r>
    </w:p>
    <w:p w14:paraId="7C3F03CC" w14:textId="77777777" w:rsidR="0008616F" w:rsidRPr="00992EF8" w:rsidRDefault="0008616F">
      <w:pPr>
        <w:rPr>
          <w:rFonts w:asciiTheme="majorHAnsi" w:hAnsiTheme="majorHAnsi"/>
          <w:sz w:val="22"/>
          <w:szCs w:val="22"/>
        </w:rPr>
      </w:pPr>
    </w:p>
    <w:p w14:paraId="60C14EA1" w14:textId="61F37DA2" w:rsidR="00186721" w:rsidRPr="00992EF8" w:rsidRDefault="00186721">
      <w:pPr>
        <w:rPr>
          <w:rFonts w:asciiTheme="majorHAnsi" w:hAnsiTheme="majorHAnsi"/>
          <w:sz w:val="22"/>
          <w:szCs w:val="22"/>
        </w:rPr>
      </w:pPr>
      <w:r w:rsidRPr="00992EF8">
        <w:rPr>
          <w:rFonts w:asciiTheme="majorHAnsi" w:hAnsiTheme="majorHAnsi"/>
          <w:sz w:val="22"/>
          <w:szCs w:val="22"/>
        </w:rPr>
        <w:t xml:space="preserve">House of Commons (2018) </w:t>
      </w:r>
      <w:hyperlink r:id="rId14" w:history="1">
        <w:r w:rsidRPr="00992EF8">
          <w:rPr>
            <w:rStyle w:val="Hyperlink"/>
            <w:rFonts w:asciiTheme="majorHAnsi" w:hAnsiTheme="majorHAnsi"/>
            <w:sz w:val="22"/>
            <w:szCs w:val="22"/>
          </w:rPr>
          <w:t>http://researchbriefings.files.parliament.uk/documents/CBP-7671/CBP-7671.pdf</w:t>
        </w:r>
      </w:hyperlink>
      <w:r w:rsidRPr="00992EF8">
        <w:rPr>
          <w:rFonts w:asciiTheme="majorHAnsi" w:hAnsiTheme="majorHAnsi"/>
          <w:sz w:val="22"/>
          <w:szCs w:val="22"/>
        </w:rPr>
        <w:t xml:space="preserve"> </w:t>
      </w:r>
    </w:p>
    <w:p w14:paraId="5527AC9B" w14:textId="77777777" w:rsidR="00186721" w:rsidRPr="00992EF8" w:rsidRDefault="00186721">
      <w:pPr>
        <w:rPr>
          <w:rFonts w:asciiTheme="majorHAnsi" w:hAnsiTheme="majorHAnsi"/>
          <w:sz w:val="22"/>
          <w:szCs w:val="22"/>
        </w:rPr>
      </w:pPr>
    </w:p>
    <w:p w14:paraId="18819250" w14:textId="3B252930" w:rsidR="0008616F" w:rsidRPr="00992EF8" w:rsidRDefault="0008616F">
      <w:pPr>
        <w:rPr>
          <w:rFonts w:asciiTheme="majorHAnsi" w:hAnsiTheme="majorHAnsi"/>
          <w:sz w:val="22"/>
          <w:szCs w:val="22"/>
        </w:rPr>
      </w:pPr>
      <w:r w:rsidRPr="00992EF8">
        <w:rPr>
          <w:rFonts w:asciiTheme="majorHAnsi" w:hAnsiTheme="majorHAnsi"/>
          <w:sz w:val="22"/>
          <w:szCs w:val="22"/>
        </w:rPr>
        <w:t xml:space="preserve">Inflation Matters (2018) </w:t>
      </w:r>
      <w:hyperlink r:id="rId15" w:history="1">
        <w:r w:rsidRPr="00992EF8">
          <w:rPr>
            <w:rStyle w:val="Hyperlink"/>
            <w:rFonts w:asciiTheme="majorHAnsi" w:hAnsiTheme="majorHAnsi"/>
            <w:sz w:val="22"/>
            <w:szCs w:val="22"/>
          </w:rPr>
          <w:t>http://inflationmatters.com/much-cpi-underestimates-inflation/</w:t>
        </w:r>
      </w:hyperlink>
      <w:r w:rsidRPr="00992EF8">
        <w:rPr>
          <w:rFonts w:asciiTheme="majorHAnsi" w:hAnsiTheme="majorHAnsi"/>
          <w:sz w:val="22"/>
          <w:szCs w:val="22"/>
        </w:rPr>
        <w:t xml:space="preserve"> </w:t>
      </w:r>
    </w:p>
    <w:p w14:paraId="02D0B794" w14:textId="77777777" w:rsidR="00A44C68" w:rsidRPr="00992EF8" w:rsidRDefault="00A44C68">
      <w:pPr>
        <w:rPr>
          <w:rFonts w:asciiTheme="majorHAnsi" w:hAnsiTheme="majorHAnsi"/>
          <w:sz w:val="22"/>
          <w:szCs w:val="22"/>
        </w:rPr>
      </w:pPr>
    </w:p>
    <w:p w14:paraId="7E8BDAA5" w14:textId="70F0B887" w:rsidR="00BE112B" w:rsidRPr="00992EF8" w:rsidRDefault="00BE112B">
      <w:pPr>
        <w:rPr>
          <w:rFonts w:asciiTheme="majorHAnsi" w:hAnsiTheme="majorHAnsi"/>
          <w:sz w:val="22"/>
          <w:szCs w:val="22"/>
        </w:rPr>
      </w:pPr>
      <w:r w:rsidRPr="00992EF8">
        <w:rPr>
          <w:rFonts w:asciiTheme="majorHAnsi" w:hAnsiTheme="majorHAnsi"/>
          <w:sz w:val="22"/>
          <w:szCs w:val="22"/>
        </w:rPr>
        <w:t xml:space="preserve">Knight Frank (2018) UK RESIDENTIAL MARKET FORECAST </w:t>
      </w:r>
      <w:hyperlink r:id="rId16" w:history="1">
        <w:r w:rsidRPr="00992EF8">
          <w:rPr>
            <w:rStyle w:val="Hyperlink"/>
            <w:rFonts w:asciiTheme="majorHAnsi" w:hAnsiTheme="majorHAnsi"/>
            <w:sz w:val="22"/>
            <w:szCs w:val="22"/>
          </w:rPr>
          <w:t>https://content.knightfrank.com/research/367/documents/en/uk-housing-market-forecast-may-2018-5544.pdf</w:t>
        </w:r>
      </w:hyperlink>
      <w:r w:rsidRPr="00992EF8">
        <w:rPr>
          <w:rFonts w:asciiTheme="majorHAnsi" w:hAnsiTheme="majorHAnsi"/>
          <w:sz w:val="22"/>
          <w:szCs w:val="22"/>
        </w:rPr>
        <w:t xml:space="preserve">  </w:t>
      </w:r>
    </w:p>
    <w:p w14:paraId="28E7ED90" w14:textId="77777777" w:rsidR="0038118C" w:rsidRPr="00992EF8" w:rsidRDefault="0038118C">
      <w:pPr>
        <w:rPr>
          <w:rFonts w:asciiTheme="majorHAnsi" w:hAnsiTheme="majorHAnsi"/>
          <w:sz w:val="22"/>
          <w:szCs w:val="22"/>
        </w:rPr>
      </w:pPr>
    </w:p>
    <w:p w14:paraId="64918281" w14:textId="64FCAB24" w:rsidR="0038118C" w:rsidRPr="00992EF8" w:rsidRDefault="0038118C">
      <w:pPr>
        <w:rPr>
          <w:rFonts w:asciiTheme="majorHAnsi" w:hAnsiTheme="majorHAnsi"/>
          <w:sz w:val="22"/>
          <w:szCs w:val="22"/>
        </w:rPr>
      </w:pPr>
      <w:r w:rsidRPr="00992EF8">
        <w:rPr>
          <w:rFonts w:asciiTheme="majorHAnsi" w:hAnsiTheme="majorHAnsi"/>
          <w:sz w:val="22"/>
          <w:szCs w:val="22"/>
        </w:rPr>
        <w:t xml:space="preserve">Knight Frank (2015) FOCUS ON: BATH AND BRISTOL 2015 </w:t>
      </w:r>
      <w:hyperlink r:id="rId17" w:history="1">
        <w:r w:rsidRPr="00992EF8">
          <w:rPr>
            <w:rStyle w:val="Hyperlink"/>
            <w:rFonts w:asciiTheme="majorHAnsi" w:hAnsiTheme="majorHAnsi"/>
            <w:sz w:val="22"/>
            <w:szCs w:val="22"/>
          </w:rPr>
          <w:t>https://content.knightfrank.com/research/901/documents/en/2015-3170.pdf</w:t>
        </w:r>
      </w:hyperlink>
      <w:r w:rsidRPr="00992EF8">
        <w:rPr>
          <w:rFonts w:asciiTheme="majorHAnsi" w:hAnsiTheme="majorHAnsi"/>
          <w:sz w:val="22"/>
          <w:szCs w:val="22"/>
        </w:rPr>
        <w:t xml:space="preserve"> </w:t>
      </w:r>
    </w:p>
    <w:p w14:paraId="559FDD11" w14:textId="77777777" w:rsidR="00BE112B" w:rsidRPr="00992EF8" w:rsidRDefault="00BE112B">
      <w:pPr>
        <w:rPr>
          <w:rFonts w:asciiTheme="majorHAnsi" w:hAnsiTheme="majorHAnsi"/>
          <w:sz w:val="22"/>
          <w:szCs w:val="22"/>
        </w:rPr>
      </w:pPr>
    </w:p>
    <w:p w14:paraId="53B1BFDD" w14:textId="1C6DDC63" w:rsidR="00B022E5" w:rsidRPr="00992EF8" w:rsidRDefault="00B022E5">
      <w:pPr>
        <w:rPr>
          <w:rFonts w:asciiTheme="majorHAnsi" w:hAnsiTheme="majorHAnsi"/>
          <w:sz w:val="22"/>
          <w:szCs w:val="22"/>
        </w:rPr>
      </w:pPr>
      <w:r w:rsidRPr="00992EF8">
        <w:rPr>
          <w:rFonts w:asciiTheme="majorHAnsi" w:hAnsiTheme="majorHAnsi"/>
          <w:sz w:val="22"/>
          <w:szCs w:val="22"/>
        </w:rPr>
        <w:t>Land Bay (2018)</w:t>
      </w:r>
      <w:r w:rsidRPr="00992EF8">
        <w:rPr>
          <w:rFonts w:asciiTheme="majorHAnsi" w:hAnsiTheme="majorHAnsi"/>
        </w:rPr>
        <w:t xml:space="preserve"> </w:t>
      </w:r>
      <w:r w:rsidRPr="00992EF8">
        <w:rPr>
          <w:rFonts w:asciiTheme="majorHAnsi" w:hAnsiTheme="majorHAnsi"/>
          <w:sz w:val="22"/>
          <w:szCs w:val="22"/>
        </w:rPr>
        <w:t xml:space="preserve">The National Rent Review December 2017 </w:t>
      </w:r>
      <w:hyperlink r:id="rId18" w:history="1">
        <w:r w:rsidRPr="00992EF8">
          <w:rPr>
            <w:rStyle w:val="Hyperlink"/>
            <w:rFonts w:asciiTheme="majorHAnsi" w:hAnsiTheme="majorHAnsi"/>
            <w:sz w:val="22"/>
            <w:szCs w:val="22"/>
          </w:rPr>
          <w:t>https://rentcheck.landbay.co.uk/wp-content/uploads/2017/12/7863_Landbay_NRR_2017_FINAL-1.pdf</w:t>
        </w:r>
      </w:hyperlink>
      <w:r w:rsidRPr="00992EF8">
        <w:rPr>
          <w:rFonts w:asciiTheme="majorHAnsi" w:hAnsiTheme="majorHAnsi"/>
          <w:sz w:val="22"/>
          <w:szCs w:val="22"/>
        </w:rPr>
        <w:t xml:space="preserve"> </w:t>
      </w:r>
    </w:p>
    <w:p w14:paraId="505E7B6C" w14:textId="77777777" w:rsidR="00B022E5" w:rsidRPr="00992EF8" w:rsidRDefault="00B022E5">
      <w:pPr>
        <w:rPr>
          <w:rFonts w:asciiTheme="majorHAnsi" w:hAnsiTheme="majorHAnsi"/>
          <w:sz w:val="22"/>
          <w:szCs w:val="22"/>
        </w:rPr>
      </w:pPr>
    </w:p>
    <w:p w14:paraId="42EF8621" w14:textId="42F7A0AF" w:rsidR="0071028F" w:rsidRPr="00992EF8" w:rsidRDefault="0071028F">
      <w:pPr>
        <w:rPr>
          <w:rFonts w:asciiTheme="majorHAnsi" w:hAnsiTheme="majorHAnsi"/>
          <w:sz w:val="22"/>
          <w:szCs w:val="22"/>
        </w:rPr>
      </w:pPr>
      <w:r w:rsidRPr="00992EF8">
        <w:rPr>
          <w:rFonts w:asciiTheme="majorHAnsi" w:hAnsiTheme="majorHAnsi"/>
          <w:sz w:val="22"/>
          <w:szCs w:val="22"/>
        </w:rPr>
        <w:t xml:space="preserve">Land Registry (2018) House Price Statistics </w:t>
      </w:r>
      <w:hyperlink r:id="rId19" w:history="1">
        <w:r w:rsidRPr="00992EF8">
          <w:rPr>
            <w:rStyle w:val="Hyperlink"/>
            <w:rFonts w:asciiTheme="majorHAnsi" w:hAnsiTheme="majorHAnsi"/>
            <w:sz w:val="22"/>
            <w:szCs w:val="22"/>
          </w:rPr>
          <w:t>http://landregistry.data.gov.uk/app/ukhpi/browse?from=1997-01-01&amp;location=http%3A%2F%2Flandregistry.data.gov.uk%2Fid%2Fregion%2Funited-kingdom&amp;to=2017-12-01</w:t>
        </w:r>
      </w:hyperlink>
      <w:r w:rsidRPr="00992EF8">
        <w:rPr>
          <w:rFonts w:asciiTheme="majorHAnsi" w:hAnsiTheme="majorHAnsi"/>
          <w:sz w:val="22"/>
          <w:szCs w:val="22"/>
        </w:rPr>
        <w:t xml:space="preserve"> </w:t>
      </w:r>
    </w:p>
    <w:p w14:paraId="30DC2F71" w14:textId="77777777" w:rsidR="0071028F" w:rsidRPr="00992EF8" w:rsidRDefault="0071028F">
      <w:pPr>
        <w:rPr>
          <w:rFonts w:asciiTheme="majorHAnsi" w:hAnsiTheme="majorHAnsi"/>
          <w:sz w:val="22"/>
          <w:szCs w:val="22"/>
        </w:rPr>
      </w:pPr>
    </w:p>
    <w:p w14:paraId="1C1F5EA4" w14:textId="15D86EF8" w:rsidR="00A44C68" w:rsidRPr="00992EF8" w:rsidRDefault="00A44C68">
      <w:pPr>
        <w:rPr>
          <w:rFonts w:asciiTheme="majorHAnsi" w:hAnsiTheme="majorHAnsi"/>
          <w:sz w:val="22"/>
          <w:szCs w:val="22"/>
        </w:rPr>
      </w:pPr>
      <w:r w:rsidRPr="00992EF8">
        <w:rPr>
          <w:rFonts w:asciiTheme="majorHAnsi" w:hAnsiTheme="majorHAnsi"/>
          <w:sz w:val="22"/>
          <w:szCs w:val="22"/>
        </w:rPr>
        <w:t xml:space="preserve">Miller (2011) </w:t>
      </w:r>
      <w:hyperlink r:id="rId20" w:history="1">
        <w:r w:rsidRPr="00992EF8">
          <w:rPr>
            <w:rStyle w:val="Hyperlink"/>
            <w:rFonts w:asciiTheme="majorHAnsi" w:hAnsiTheme="majorHAnsi"/>
            <w:sz w:val="22"/>
            <w:szCs w:val="22"/>
          </w:rPr>
          <w:t>http://obr.uk/docs/dlm_uploads/Working-paper-No2-The-long-run-difference-between-RPI-and-CPI-inflation.pdf</w:t>
        </w:r>
      </w:hyperlink>
      <w:r w:rsidRPr="00992EF8">
        <w:rPr>
          <w:rFonts w:asciiTheme="majorHAnsi" w:hAnsiTheme="majorHAnsi"/>
          <w:sz w:val="22"/>
          <w:szCs w:val="22"/>
        </w:rPr>
        <w:t xml:space="preserve"> </w:t>
      </w:r>
    </w:p>
    <w:p w14:paraId="351E9004" w14:textId="77777777" w:rsidR="00610444" w:rsidRPr="00992EF8" w:rsidRDefault="00610444">
      <w:pPr>
        <w:rPr>
          <w:rFonts w:asciiTheme="majorHAnsi" w:hAnsiTheme="majorHAnsi"/>
          <w:sz w:val="22"/>
          <w:szCs w:val="22"/>
        </w:rPr>
      </w:pPr>
    </w:p>
    <w:p w14:paraId="3A892D86" w14:textId="09C14FEA" w:rsidR="006A74D9" w:rsidRPr="00992EF8" w:rsidRDefault="006A74D9">
      <w:pPr>
        <w:rPr>
          <w:rFonts w:asciiTheme="majorHAnsi" w:hAnsiTheme="majorHAnsi"/>
          <w:sz w:val="22"/>
          <w:szCs w:val="22"/>
        </w:rPr>
      </w:pPr>
      <w:r w:rsidRPr="00992EF8">
        <w:rPr>
          <w:rFonts w:asciiTheme="majorHAnsi" w:hAnsiTheme="majorHAnsi"/>
          <w:sz w:val="22"/>
          <w:szCs w:val="22"/>
        </w:rPr>
        <w:t xml:space="preserve">Money Marketing (2016) </w:t>
      </w:r>
      <w:hyperlink r:id="rId21" w:history="1">
        <w:r w:rsidRPr="00992EF8">
          <w:rPr>
            <w:rStyle w:val="Hyperlink"/>
            <w:rFonts w:asciiTheme="majorHAnsi" w:hAnsiTheme="majorHAnsi"/>
            <w:sz w:val="22"/>
            <w:szCs w:val="22"/>
          </w:rPr>
          <w:t>https://www.moneymarketing.co.uk/issues/23-june-2016/46-paul-lewis/</w:t>
        </w:r>
      </w:hyperlink>
      <w:r w:rsidRPr="00992EF8">
        <w:rPr>
          <w:rFonts w:asciiTheme="majorHAnsi" w:hAnsiTheme="majorHAnsi"/>
          <w:sz w:val="22"/>
          <w:szCs w:val="22"/>
        </w:rPr>
        <w:t xml:space="preserve"> </w:t>
      </w:r>
    </w:p>
    <w:p w14:paraId="58237DC7" w14:textId="77777777" w:rsidR="006A74D9" w:rsidRPr="00992EF8" w:rsidRDefault="006A74D9">
      <w:pPr>
        <w:rPr>
          <w:rFonts w:asciiTheme="majorHAnsi" w:hAnsiTheme="majorHAnsi"/>
          <w:sz w:val="22"/>
          <w:szCs w:val="22"/>
        </w:rPr>
      </w:pPr>
    </w:p>
    <w:p w14:paraId="7087B25B" w14:textId="4F2F1920" w:rsidR="00610444" w:rsidRPr="00992EF8" w:rsidRDefault="00610444">
      <w:pPr>
        <w:rPr>
          <w:rFonts w:asciiTheme="majorHAnsi" w:hAnsiTheme="majorHAnsi"/>
          <w:sz w:val="22"/>
          <w:szCs w:val="22"/>
        </w:rPr>
      </w:pPr>
      <w:r w:rsidRPr="00992EF8">
        <w:rPr>
          <w:rFonts w:asciiTheme="majorHAnsi" w:hAnsiTheme="majorHAnsi"/>
          <w:sz w:val="22"/>
          <w:szCs w:val="22"/>
        </w:rPr>
        <w:t>ONS (2015</w:t>
      </w:r>
      <w:r w:rsidR="008A4C8D" w:rsidRPr="00992EF8">
        <w:rPr>
          <w:rFonts w:asciiTheme="majorHAnsi" w:hAnsiTheme="majorHAnsi"/>
          <w:sz w:val="22"/>
          <w:szCs w:val="22"/>
        </w:rPr>
        <w:t>a</w:t>
      </w:r>
      <w:r w:rsidRPr="00992EF8">
        <w:rPr>
          <w:rFonts w:asciiTheme="majorHAnsi" w:hAnsiTheme="majorHAnsi"/>
          <w:sz w:val="22"/>
          <w:szCs w:val="22"/>
        </w:rPr>
        <w:t xml:space="preserve">) </w:t>
      </w:r>
      <w:r w:rsidR="008A4C8D" w:rsidRPr="00992EF8">
        <w:rPr>
          <w:rFonts w:asciiTheme="majorHAnsi" w:hAnsiTheme="majorHAnsi"/>
          <w:sz w:val="22"/>
          <w:szCs w:val="22"/>
        </w:rPr>
        <w:t xml:space="preserve">Life Expectancy </w:t>
      </w:r>
      <w:hyperlink r:id="rId22" w:history="1">
        <w:r w:rsidRPr="00992EF8">
          <w:rPr>
            <w:rStyle w:val="Hyperlink"/>
            <w:rFonts w:asciiTheme="majorHAnsi" w:hAnsiTheme="majorHAnsi"/>
            <w:sz w:val="22"/>
            <w:szCs w:val="22"/>
          </w:rPr>
          <w:t>https://www.ons.gov.uk/peoplepopulationandcommunity/birthsdeathsandmarriages/lifeexpectancies/articles/howlongwillmypensionneedtolast/2015-03-27</w:t>
        </w:r>
      </w:hyperlink>
      <w:r w:rsidRPr="00992EF8">
        <w:rPr>
          <w:rFonts w:asciiTheme="majorHAnsi" w:hAnsiTheme="majorHAnsi"/>
          <w:sz w:val="22"/>
          <w:szCs w:val="22"/>
        </w:rPr>
        <w:t xml:space="preserve"> </w:t>
      </w:r>
    </w:p>
    <w:p w14:paraId="067A37EF" w14:textId="77777777" w:rsidR="009802D4" w:rsidRPr="00992EF8" w:rsidRDefault="009802D4">
      <w:pPr>
        <w:rPr>
          <w:rFonts w:asciiTheme="majorHAnsi" w:hAnsiTheme="majorHAnsi"/>
          <w:sz w:val="22"/>
          <w:szCs w:val="22"/>
        </w:rPr>
      </w:pPr>
    </w:p>
    <w:p w14:paraId="298BE0D9" w14:textId="16F1C693" w:rsidR="008A4C8D" w:rsidRPr="00992EF8" w:rsidRDefault="008A4C8D">
      <w:pPr>
        <w:rPr>
          <w:rFonts w:asciiTheme="majorHAnsi" w:hAnsiTheme="majorHAnsi"/>
          <w:sz w:val="22"/>
          <w:szCs w:val="22"/>
        </w:rPr>
      </w:pPr>
      <w:r w:rsidRPr="00992EF8">
        <w:rPr>
          <w:rFonts w:asciiTheme="majorHAnsi" w:hAnsiTheme="majorHAnsi"/>
          <w:sz w:val="22"/>
          <w:szCs w:val="22"/>
        </w:rPr>
        <w:t xml:space="preserve">ONS (2018b) Earnings – Labour Market Statistics </w:t>
      </w:r>
      <w:hyperlink r:id="rId23" w:history="1">
        <w:r w:rsidRPr="00992EF8">
          <w:rPr>
            <w:rStyle w:val="Hyperlink"/>
            <w:rFonts w:asciiTheme="majorHAnsi" w:hAnsiTheme="majorHAnsi"/>
            <w:sz w:val="22"/>
            <w:szCs w:val="22"/>
          </w:rPr>
          <w:t>https://www.ons.gov.uk/employmentandlabourmarket/peopleinwork/earningsandworkinghours/timeseries/kac3/lms</w:t>
        </w:r>
      </w:hyperlink>
      <w:r w:rsidRPr="00992EF8">
        <w:rPr>
          <w:rFonts w:asciiTheme="majorHAnsi" w:hAnsiTheme="majorHAnsi"/>
          <w:sz w:val="22"/>
          <w:szCs w:val="22"/>
        </w:rPr>
        <w:t xml:space="preserve"> </w:t>
      </w:r>
    </w:p>
    <w:p w14:paraId="545BAC53" w14:textId="77777777" w:rsidR="008A4C8D" w:rsidRPr="00992EF8" w:rsidRDefault="008A4C8D">
      <w:pPr>
        <w:rPr>
          <w:rFonts w:asciiTheme="majorHAnsi" w:hAnsiTheme="majorHAnsi"/>
          <w:sz w:val="22"/>
          <w:szCs w:val="22"/>
        </w:rPr>
      </w:pPr>
    </w:p>
    <w:p w14:paraId="19C08EBD" w14:textId="36DE73A2" w:rsidR="009802D4" w:rsidRPr="00992EF8" w:rsidRDefault="009802D4">
      <w:pPr>
        <w:rPr>
          <w:rFonts w:asciiTheme="majorHAnsi" w:hAnsiTheme="majorHAnsi"/>
          <w:sz w:val="22"/>
          <w:szCs w:val="22"/>
        </w:rPr>
      </w:pPr>
      <w:r w:rsidRPr="00992EF8">
        <w:rPr>
          <w:rFonts w:asciiTheme="majorHAnsi" w:hAnsiTheme="majorHAnsi"/>
          <w:sz w:val="22"/>
          <w:szCs w:val="22"/>
        </w:rPr>
        <w:t xml:space="preserve">Positive Money (2018) </w:t>
      </w:r>
      <w:hyperlink r:id="rId24" w:history="1">
        <w:r w:rsidRPr="00992EF8">
          <w:rPr>
            <w:rStyle w:val="Hyperlink"/>
            <w:rFonts w:asciiTheme="majorHAnsi" w:hAnsiTheme="majorHAnsi"/>
            <w:sz w:val="22"/>
            <w:szCs w:val="22"/>
          </w:rPr>
          <w:t>http://positivemoney.org/issues/house-prices/</w:t>
        </w:r>
      </w:hyperlink>
      <w:r w:rsidRPr="00992EF8">
        <w:rPr>
          <w:rFonts w:asciiTheme="majorHAnsi" w:hAnsiTheme="majorHAnsi"/>
          <w:sz w:val="22"/>
          <w:szCs w:val="22"/>
        </w:rPr>
        <w:tab/>
      </w:r>
    </w:p>
    <w:p w14:paraId="14DEE069" w14:textId="77777777" w:rsidR="0071028F" w:rsidRPr="00992EF8" w:rsidRDefault="0071028F">
      <w:pPr>
        <w:rPr>
          <w:rFonts w:asciiTheme="majorHAnsi" w:hAnsiTheme="majorHAnsi"/>
          <w:sz w:val="22"/>
          <w:szCs w:val="22"/>
        </w:rPr>
      </w:pPr>
    </w:p>
    <w:p w14:paraId="4553E9EC" w14:textId="295A5C5E" w:rsidR="0071028F" w:rsidRPr="00992EF8" w:rsidRDefault="0071028F">
      <w:pPr>
        <w:rPr>
          <w:rFonts w:asciiTheme="majorHAnsi" w:hAnsiTheme="majorHAnsi"/>
          <w:sz w:val="22"/>
          <w:szCs w:val="22"/>
        </w:rPr>
      </w:pPr>
      <w:r w:rsidRPr="00992EF8">
        <w:rPr>
          <w:rFonts w:asciiTheme="majorHAnsi" w:hAnsiTheme="majorHAnsi"/>
          <w:sz w:val="22"/>
          <w:szCs w:val="22"/>
        </w:rPr>
        <w:lastRenderedPageBreak/>
        <w:t xml:space="preserve">Nationwide (2018) House Price Index Data </w:t>
      </w:r>
      <w:hyperlink r:id="rId25" w:anchor="xtab:uk-series" w:history="1">
        <w:r w:rsidRPr="00992EF8">
          <w:rPr>
            <w:rStyle w:val="Hyperlink"/>
            <w:rFonts w:asciiTheme="majorHAnsi" w:hAnsiTheme="majorHAnsi"/>
            <w:sz w:val="22"/>
            <w:szCs w:val="22"/>
          </w:rPr>
          <w:t>https://www.nationwide.co.uk/about/house-price-index/download-data#xtab:uk-series</w:t>
        </w:r>
      </w:hyperlink>
      <w:r w:rsidRPr="00992EF8">
        <w:rPr>
          <w:rFonts w:asciiTheme="majorHAnsi" w:hAnsiTheme="majorHAnsi"/>
          <w:sz w:val="22"/>
          <w:szCs w:val="22"/>
        </w:rPr>
        <w:t xml:space="preserve"> </w:t>
      </w:r>
    </w:p>
    <w:p w14:paraId="72835427" w14:textId="77777777" w:rsidR="00BC2DD9" w:rsidRPr="00992EF8" w:rsidRDefault="00BC2DD9">
      <w:pPr>
        <w:rPr>
          <w:rFonts w:asciiTheme="majorHAnsi" w:hAnsiTheme="majorHAnsi"/>
          <w:sz w:val="22"/>
          <w:szCs w:val="22"/>
        </w:rPr>
      </w:pPr>
    </w:p>
    <w:p w14:paraId="5A2F1104" w14:textId="549B41F2" w:rsidR="00527C07" w:rsidRPr="00992EF8" w:rsidRDefault="00527C07">
      <w:pPr>
        <w:rPr>
          <w:rFonts w:asciiTheme="majorHAnsi" w:hAnsiTheme="majorHAnsi"/>
          <w:sz w:val="22"/>
          <w:szCs w:val="22"/>
        </w:rPr>
      </w:pPr>
      <w:proofErr w:type="spellStart"/>
      <w:r w:rsidRPr="00992EF8">
        <w:rPr>
          <w:rFonts w:asciiTheme="majorHAnsi" w:hAnsiTheme="majorHAnsi"/>
          <w:sz w:val="22"/>
          <w:szCs w:val="22"/>
        </w:rPr>
        <w:t>Salomons</w:t>
      </w:r>
      <w:proofErr w:type="spellEnd"/>
      <w:r w:rsidRPr="00992EF8">
        <w:rPr>
          <w:rFonts w:asciiTheme="majorHAnsi" w:hAnsiTheme="majorHAnsi"/>
          <w:sz w:val="22"/>
          <w:szCs w:val="22"/>
        </w:rPr>
        <w:t xml:space="preserve"> and </w:t>
      </w:r>
      <w:proofErr w:type="spellStart"/>
      <w:r w:rsidRPr="00992EF8">
        <w:rPr>
          <w:rFonts w:asciiTheme="majorHAnsi" w:hAnsiTheme="majorHAnsi"/>
          <w:sz w:val="22"/>
          <w:szCs w:val="22"/>
        </w:rPr>
        <w:t>Grootveld</w:t>
      </w:r>
      <w:proofErr w:type="spellEnd"/>
      <w:r w:rsidRPr="00992EF8">
        <w:rPr>
          <w:rFonts w:asciiTheme="majorHAnsi" w:hAnsiTheme="majorHAnsi"/>
          <w:sz w:val="22"/>
          <w:szCs w:val="22"/>
        </w:rPr>
        <w:t xml:space="preserve"> (2011) The Equity Risk Premium: Emerging versus Developed Markets </w:t>
      </w:r>
      <w:hyperlink r:id="rId26" w:history="1">
        <w:r w:rsidRPr="00992EF8">
          <w:rPr>
            <w:rStyle w:val="Hyperlink"/>
            <w:rFonts w:asciiTheme="majorHAnsi" w:hAnsiTheme="majorHAnsi"/>
            <w:sz w:val="22"/>
            <w:szCs w:val="22"/>
          </w:rPr>
          <w:t>http://citeseerx.ist.psu.edu/viewdoc/download?doi=10.1.1.476.814&amp;rep=rep1&amp;type=pdf</w:t>
        </w:r>
      </w:hyperlink>
      <w:r w:rsidRPr="00992EF8">
        <w:rPr>
          <w:rFonts w:asciiTheme="majorHAnsi" w:hAnsiTheme="majorHAnsi"/>
          <w:sz w:val="22"/>
          <w:szCs w:val="22"/>
        </w:rPr>
        <w:t xml:space="preserve"> </w:t>
      </w:r>
    </w:p>
    <w:p w14:paraId="432EDDF6" w14:textId="77777777" w:rsidR="00527C07" w:rsidRPr="00992EF8" w:rsidRDefault="00527C07">
      <w:pPr>
        <w:rPr>
          <w:rFonts w:asciiTheme="majorHAnsi" w:hAnsiTheme="majorHAnsi"/>
          <w:sz w:val="22"/>
          <w:szCs w:val="22"/>
        </w:rPr>
      </w:pPr>
    </w:p>
    <w:p w14:paraId="334053AE" w14:textId="49866483" w:rsidR="00BC2DD9" w:rsidRPr="00992EF8" w:rsidRDefault="00BC2DD9">
      <w:pPr>
        <w:rPr>
          <w:rFonts w:asciiTheme="majorHAnsi" w:hAnsiTheme="majorHAnsi"/>
          <w:sz w:val="22"/>
          <w:szCs w:val="22"/>
        </w:rPr>
      </w:pPr>
      <w:r w:rsidRPr="00992EF8">
        <w:rPr>
          <w:rFonts w:asciiTheme="majorHAnsi" w:hAnsiTheme="majorHAnsi"/>
          <w:sz w:val="22"/>
          <w:szCs w:val="22"/>
        </w:rPr>
        <w:t xml:space="preserve">Value Investor (2018) </w:t>
      </w:r>
      <w:r w:rsidR="009802D4" w:rsidRPr="00992EF8">
        <w:rPr>
          <w:rFonts w:asciiTheme="majorHAnsi" w:hAnsiTheme="majorHAnsi"/>
          <w:sz w:val="22"/>
          <w:szCs w:val="22"/>
        </w:rPr>
        <w:t xml:space="preserve">Why UK property prices could stay flat for 20 years </w:t>
      </w:r>
      <w:hyperlink r:id="rId27" w:history="1">
        <w:r w:rsidR="009802D4" w:rsidRPr="00992EF8">
          <w:rPr>
            <w:rStyle w:val="Hyperlink"/>
            <w:rFonts w:asciiTheme="majorHAnsi" w:hAnsiTheme="majorHAnsi"/>
            <w:sz w:val="22"/>
            <w:szCs w:val="22"/>
          </w:rPr>
          <w:t>https://www.ukvalueinvestor.com/2018/06/uk-shares-uk-property-better-value.html/</w:t>
        </w:r>
      </w:hyperlink>
      <w:r w:rsidR="009802D4" w:rsidRPr="00992EF8">
        <w:rPr>
          <w:rFonts w:asciiTheme="majorHAnsi" w:hAnsiTheme="majorHAnsi"/>
          <w:sz w:val="22"/>
          <w:szCs w:val="22"/>
        </w:rPr>
        <w:t xml:space="preserve"> </w:t>
      </w:r>
    </w:p>
    <w:p w14:paraId="78F88804" w14:textId="77777777" w:rsidR="00BF431C" w:rsidRPr="00992EF8" w:rsidRDefault="00BF431C">
      <w:pPr>
        <w:rPr>
          <w:rFonts w:asciiTheme="majorHAnsi" w:hAnsiTheme="majorHAnsi"/>
          <w:sz w:val="22"/>
          <w:szCs w:val="22"/>
        </w:rPr>
      </w:pPr>
    </w:p>
    <w:p w14:paraId="718708B2" w14:textId="64658F9F" w:rsidR="00BF431C" w:rsidRPr="00992EF8" w:rsidRDefault="00BF431C">
      <w:pPr>
        <w:rPr>
          <w:rFonts w:asciiTheme="majorHAnsi" w:hAnsiTheme="majorHAnsi"/>
          <w:sz w:val="22"/>
          <w:szCs w:val="22"/>
        </w:rPr>
      </w:pPr>
      <w:r w:rsidRPr="00992EF8">
        <w:rPr>
          <w:rFonts w:asciiTheme="majorHAnsi" w:hAnsiTheme="majorHAnsi"/>
          <w:sz w:val="22"/>
          <w:szCs w:val="22"/>
        </w:rPr>
        <w:br w:type="page"/>
      </w:r>
    </w:p>
    <w:p w14:paraId="2743A373" w14:textId="4AD90FA2" w:rsidR="00BF431C" w:rsidRPr="00992EF8" w:rsidRDefault="00BF431C" w:rsidP="002D7D81">
      <w:pPr>
        <w:pStyle w:val="Heading1"/>
      </w:pPr>
      <w:bookmarkStart w:id="4" w:name="_Toc394484438"/>
      <w:r w:rsidRPr="00992EF8">
        <w:lastRenderedPageBreak/>
        <w:t>Appendix</w:t>
      </w:r>
      <w:bookmarkEnd w:id="4"/>
    </w:p>
    <w:p w14:paraId="7F2E8B38" w14:textId="09963E4E" w:rsidR="00BF431C" w:rsidRPr="00992EF8" w:rsidRDefault="00851793" w:rsidP="002D7D81">
      <w:pPr>
        <w:pStyle w:val="Heading2"/>
        <w:numPr>
          <w:ilvl w:val="0"/>
          <w:numId w:val="18"/>
        </w:numPr>
      </w:pPr>
      <w:bookmarkStart w:id="5" w:name="_Toc394484439"/>
      <w:r w:rsidRPr="00992EF8">
        <w:t>Inflation</w:t>
      </w:r>
      <w:bookmarkEnd w:id="5"/>
    </w:p>
    <w:p w14:paraId="379FD409" w14:textId="77777777" w:rsidR="00851793" w:rsidRPr="00992EF8" w:rsidRDefault="00851793">
      <w:pPr>
        <w:rPr>
          <w:rFonts w:asciiTheme="majorHAnsi" w:hAnsiTheme="majorHAnsi"/>
          <w:b/>
          <w:sz w:val="22"/>
          <w:szCs w:val="22"/>
        </w:rPr>
      </w:pPr>
    </w:p>
    <w:p w14:paraId="47C1335D" w14:textId="44F6B30A" w:rsidR="00851793" w:rsidRPr="00C72A9E" w:rsidRDefault="00851793" w:rsidP="00851793">
      <w:pPr>
        <w:rPr>
          <w:rFonts w:asciiTheme="majorHAnsi" w:eastAsia="Times New Roman" w:hAnsiTheme="majorHAnsi" w:cs="Arial"/>
          <w:sz w:val="21"/>
          <w:szCs w:val="21"/>
          <w:shd w:val="clear" w:color="auto" w:fill="FFFFFF"/>
        </w:rPr>
      </w:pPr>
      <w:r w:rsidRPr="00C72A9E">
        <w:rPr>
          <w:rFonts w:asciiTheme="majorHAnsi" w:eastAsia="Times New Roman" w:hAnsiTheme="majorHAnsi" w:cs="Arial"/>
          <w:sz w:val="21"/>
          <w:szCs w:val="21"/>
          <w:shd w:val="clear" w:color="auto" w:fill="FFFFFF"/>
        </w:rPr>
        <w:t xml:space="preserve">Both RPI and CPI measure inflation. Both of them do it by taking a basket of goods – food, clothes, </w:t>
      </w:r>
      <w:r w:rsidR="00C72A9E" w:rsidRPr="00C72A9E">
        <w:rPr>
          <w:rFonts w:asciiTheme="majorHAnsi" w:eastAsia="Times New Roman" w:hAnsiTheme="majorHAnsi" w:cs="Arial"/>
          <w:sz w:val="21"/>
          <w:szCs w:val="21"/>
          <w:shd w:val="clear" w:color="auto" w:fill="FFFFFF"/>
        </w:rPr>
        <w:t>and petrol</w:t>
      </w:r>
      <w:r w:rsidRPr="00C72A9E">
        <w:rPr>
          <w:rFonts w:asciiTheme="majorHAnsi" w:eastAsia="Times New Roman" w:hAnsiTheme="majorHAnsi" w:cs="Arial"/>
          <w:sz w:val="21"/>
          <w:szCs w:val="21"/>
          <w:shd w:val="clear" w:color="auto" w:fill="FFFFFF"/>
        </w:rPr>
        <w:t xml:space="preserve"> - looking at what they cost last year, looking at what they cost now, and finding the proportional difference.</w:t>
      </w:r>
    </w:p>
    <w:p w14:paraId="59DC429D" w14:textId="77777777" w:rsidR="00851793" w:rsidRPr="00C72A9E" w:rsidRDefault="00851793" w:rsidP="00851793">
      <w:pPr>
        <w:rPr>
          <w:rFonts w:asciiTheme="majorHAnsi" w:hAnsiTheme="majorHAnsi"/>
          <w:sz w:val="22"/>
          <w:szCs w:val="22"/>
        </w:rPr>
      </w:pPr>
    </w:p>
    <w:p w14:paraId="71F453FA" w14:textId="77777777" w:rsidR="00851793" w:rsidRPr="00C72A9E" w:rsidRDefault="00851793" w:rsidP="00851793">
      <w:pPr>
        <w:rPr>
          <w:rFonts w:asciiTheme="majorHAnsi" w:eastAsia="Times New Roman" w:hAnsiTheme="majorHAnsi" w:cs="Arial"/>
          <w:sz w:val="21"/>
          <w:szCs w:val="21"/>
          <w:shd w:val="clear" w:color="auto" w:fill="FFFFFF"/>
        </w:rPr>
      </w:pPr>
      <w:r w:rsidRPr="00C72A9E">
        <w:rPr>
          <w:rFonts w:asciiTheme="majorHAnsi" w:eastAsia="Times New Roman" w:hAnsiTheme="majorHAnsi" w:cs="Arial"/>
          <w:sz w:val="21"/>
          <w:szCs w:val="21"/>
          <w:shd w:val="clear" w:color="auto" w:fill="FFFFFF"/>
        </w:rPr>
        <w:t>But the CPI leaves the costs of your home out of the basket – so rises in mortgage payments, rents, and council tax, which in real life you pay, don’t get reflected in it. The RPI does take account of those costs.</w:t>
      </w:r>
    </w:p>
    <w:p w14:paraId="4546A0F2" w14:textId="77777777" w:rsidR="00851793" w:rsidRPr="00C72A9E" w:rsidRDefault="00851793" w:rsidP="00851793">
      <w:pPr>
        <w:rPr>
          <w:rFonts w:asciiTheme="majorHAnsi" w:eastAsia="Times New Roman" w:hAnsiTheme="majorHAnsi" w:cs="Arial"/>
          <w:sz w:val="21"/>
          <w:szCs w:val="21"/>
          <w:shd w:val="clear" w:color="auto" w:fill="FFFFFF"/>
        </w:rPr>
      </w:pPr>
    </w:p>
    <w:p w14:paraId="40220D68" w14:textId="10D89183" w:rsidR="00851793" w:rsidRPr="00C72A9E" w:rsidRDefault="00851793" w:rsidP="00851793">
      <w:pPr>
        <w:rPr>
          <w:rFonts w:asciiTheme="majorHAnsi" w:hAnsiTheme="majorHAnsi"/>
          <w:sz w:val="22"/>
          <w:szCs w:val="22"/>
        </w:rPr>
      </w:pPr>
      <w:r w:rsidRPr="00C72A9E">
        <w:rPr>
          <w:rFonts w:asciiTheme="majorHAnsi" w:eastAsia="Times New Roman" w:hAnsiTheme="majorHAnsi" w:cs="Arial"/>
          <w:sz w:val="21"/>
          <w:szCs w:val="21"/>
          <w:shd w:val="clear" w:color="auto" w:fill="FFFFFF"/>
        </w:rPr>
        <w:t>CPI usually underestimates RPI as it does not include housing elements and it is calculated differently (Inflation Matters 2018)</w:t>
      </w:r>
      <w:r w:rsidR="006D08A7" w:rsidRPr="00C72A9E">
        <w:rPr>
          <w:rFonts w:asciiTheme="majorHAnsi" w:eastAsia="Times New Roman" w:hAnsiTheme="majorHAnsi" w:cs="Arial"/>
          <w:sz w:val="21"/>
          <w:szCs w:val="21"/>
          <w:shd w:val="clear" w:color="auto" w:fill="FFFFFF"/>
        </w:rPr>
        <w:t xml:space="preserve">. </w:t>
      </w:r>
      <w:r w:rsidRPr="00C72A9E">
        <w:rPr>
          <w:rFonts w:asciiTheme="majorHAnsi" w:hAnsiTheme="majorHAnsi"/>
          <w:sz w:val="22"/>
          <w:szCs w:val="22"/>
        </w:rPr>
        <w:t xml:space="preserve">Between 1989 and 2011 Retail Prices Index (RPI) inflation tended to be around 0.7 percentage points higher than Consumer Prices Index (CPI) inflation on average. (Miller, 2011). </w:t>
      </w:r>
    </w:p>
    <w:p w14:paraId="75692B64" w14:textId="77777777" w:rsidR="00851793" w:rsidRPr="00992EF8" w:rsidRDefault="00851793" w:rsidP="00851793">
      <w:pPr>
        <w:rPr>
          <w:rFonts w:asciiTheme="majorHAnsi" w:hAnsiTheme="majorHAnsi"/>
          <w:sz w:val="22"/>
          <w:szCs w:val="22"/>
        </w:rPr>
      </w:pPr>
    </w:p>
    <w:p w14:paraId="796BFC0D" w14:textId="15B7B0D1" w:rsidR="00851793" w:rsidRPr="00992EF8" w:rsidRDefault="00851793" w:rsidP="00851793">
      <w:pPr>
        <w:rPr>
          <w:rFonts w:asciiTheme="majorHAnsi" w:hAnsiTheme="majorHAnsi"/>
          <w:sz w:val="22"/>
          <w:szCs w:val="22"/>
        </w:rPr>
      </w:pPr>
      <w:r w:rsidRPr="00992EF8">
        <w:rPr>
          <w:rFonts w:asciiTheme="majorHAnsi" w:hAnsiTheme="majorHAnsi"/>
          <w:sz w:val="22"/>
          <w:szCs w:val="22"/>
        </w:rPr>
        <w:t>The majority of clients having housing costs, therefore RPI has been selected as the primary inflation measure.</w:t>
      </w:r>
    </w:p>
    <w:p w14:paraId="36C7453B" w14:textId="77777777" w:rsidR="00851793" w:rsidRPr="00992EF8" w:rsidRDefault="00851793" w:rsidP="00851793">
      <w:pPr>
        <w:rPr>
          <w:rFonts w:asciiTheme="majorHAnsi" w:hAnsiTheme="majorHAnsi"/>
          <w:sz w:val="22"/>
          <w:szCs w:val="22"/>
        </w:rPr>
      </w:pPr>
    </w:p>
    <w:p w14:paraId="4307073C" w14:textId="57AA327A" w:rsidR="00851793" w:rsidRPr="00992EF8" w:rsidRDefault="00851793" w:rsidP="00851793">
      <w:pPr>
        <w:rPr>
          <w:rFonts w:asciiTheme="majorHAnsi" w:hAnsiTheme="majorHAnsi"/>
          <w:sz w:val="22"/>
          <w:szCs w:val="22"/>
        </w:rPr>
      </w:pPr>
      <w:r w:rsidRPr="00992EF8">
        <w:rPr>
          <w:rFonts w:asciiTheme="majorHAnsi" w:hAnsiTheme="majorHAnsi"/>
          <w:sz w:val="22"/>
          <w:szCs w:val="22"/>
        </w:rPr>
        <w:t>To measure inflation, the ONS data source has been used:</w:t>
      </w:r>
    </w:p>
    <w:p w14:paraId="3DE00EF2" w14:textId="77777777" w:rsidR="00851793" w:rsidRPr="00992EF8" w:rsidRDefault="00851793" w:rsidP="00851793">
      <w:pPr>
        <w:rPr>
          <w:rFonts w:asciiTheme="majorHAnsi" w:hAnsiTheme="majorHAnsi"/>
          <w:sz w:val="22"/>
          <w:szCs w:val="22"/>
        </w:rPr>
      </w:pPr>
    </w:p>
    <w:p w14:paraId="375F66FC" w14:textId="0E4D29C0" w:rsidR="00851793" w:rsidRPr="00992EF8" w:rsidRDefault="00851793" w:rsidP="00851793">
      <w:pPr>
        <w:rPr>
          <w:rFonts w:asciiTheme="majorHAnsi" w:hAnsiTheme="majorHAnsi"/>
          <w:sz w:val="22"/>
          <w:szCs w:val="22"/>
        </w:rPr>
      </w:pPr>
      <w:r w:rsidRPr="00992EF8">
        <w:rPr>
          <w:rFonts w:asciiTheme="majorHAnsi" w:hAnsiTheme="majorHAnsi"/>
          <w:sz w:val="22"/>
          <w:szCs w:val="22"/>
        </w:rPr>
        <w:t xml:space="preserve">RPI - </w:t>
      </w:r>
      <w:hyperlink r:id="rId28" w:history="1">
        <w:r w:rsidRPr="00992EF8">
          <w:rPr>
            <w:rStyle w:val="Hyperlink"/>
            <w:rFonts w:asciiTheme="majorHAnsi" w:hAnsiTheme="majorHAnsi"/>
            <w:sz w:val="22"/>
            <w:szCs w:val="22"/>
          </w:rPr>
          <w:t>https://www.ons.gov.uk/economy/inflationandpriceindices/timeseries/czbh/mm23</w:t>
        </w:r>
      </w:hyperlink>
      <w:r w:rsidRPr="00992EF8">
        <w:rPr>
          <w:rFonts w:asciiTheme="majorHAnsi" w:hAnsiTheme="majorHAnsi"/>
          <w:sz w:val="22"/>
          <w:szCs w:val="22"/>
        </w:rPr>
        <w:t xml:space="preserve"> </w:t>
      </w:r>
    </w:p>
    <w:p w14:paraId="414761F9" w14:textId="193225A6" w:rsidR="00851793" w:rsidRPr="00992EF8" w:rsidRDefault="00851793" w:rsidP="00851793">
      <w:pPr>
        <w:rPr>
          <w:rFonts w:asciiTheme="majorHAnsi" w:hAnsiTheme="majorHAnsi"/>
          <w:sz w:val="22"/>
          <w:szCs w:val="22"/>
        </w:rPr>
      </w:pPr>
      <w:r w:rsidRPr="00992EF8">
        <w:rPr>
          <w:rFonts w:asciiTheme="majorHAnsi" w:hAnsiTheme="majorHAnsi"/>
          <w:sz w:val="22"/>
          <w:szCs w:val="22"/>
        </w:rPr>
        <w:t xml:space="preserve">CPI - </w:t>
      </w:r>
      <w:hyperlink r:id="rId29" w:history="1">
        <w:r w:rsidRPr="00992EF8">
          <w:rPr>
            <w:rStyle w:val="Hyperlink"/>
            <w:rFonts w:asciiTheme="majorHAnsi" w:hAnsiTheme="majorHAnsi"/>
            <w:sz w:val="22"/>
            <w:szCs w:val="22"/>
          </w:rPr>
          <w:t>https://www.ons.gov.uk/economy/inflationandpriceindices/timeseries/d7g7/mm23</w:t>
        </w:r>
      </w:hyperlink>
      <w:r w:rsidRPr="00992EF8">
        <w:rPr>
          <w:rFonts w:asciiTheme="majorHAnsi" w:hAnsiTheme="majorHAnsi"/>
          <w:sz w:val="22"/>
          <w:szCs w:val="22"/>
        </w:rPr>
        <w:t xml:space="preserve"> </w:t>
      </w:r>
    </w:p>
    <w:p w14:paraId="33DB1FC1" w14:textId="77777777" w:rsidR="00851793" w:rsidRPr="00992EF8" w:rsidRDefault="00851793" w:rsidP="00851793">
      <w:pPr>
        <w:rPr>
          <w:rFonts w:asciiTheme="majorHAnsi" w:hAnsiTheme="majorHAnsi"/>
          <w:sz w:val="22"/>
          <w:szCs w:val="22"/>
        </w:rPr>
      </w:pPr>
    </w:p>
    <w:p w14:paraId="785E0FC5" w14:textId="34F8E06E" w:rsidR="00851793" w:rsidRPr="00992EF8" w:rsidRDefault="00851793" w:rsidP="00851793">
      <w:pPr>
        <w:rPr>
          <w:rFonts w:asciiTheme="majorHAnsi" w:hAnsiTheme="majorHAnsi"/>
          <w:sz w:val="22"/>
          <w:szCs w:val="22"/>
        </w:rPr>
      </w:pPr>
      <w:r w:rsidRPr="00992EF8">
        <w:rPr>
          <w:rFonts w:asciiTheme="majorHAnsi" w:hAnsiTheme="majorHAnsi"/>
          <w:sz w:val="22"/>
          <w:szCs w:val="22"/>
        </w:rPr>
        <w:t>A timeframe of the most recent 20 years, measured on a rolling basis, has been used as:</w:t>
      </w:r>
    </w:p>
    <w:p w14:paraId="4B8FDE8B" w14:textId="77777777" w:rsidR="00851793" w:rsidRPr="00992EF8" w:rsidRDefault="00851793" w:rsidP="00851793">
      <w:pPr>
        <w:rPr>
          <w:rFonts w:asciiTheme="majorHAnsi" w:hAnsiTheme="majorHAnsi"/>
          <w:sz w:val="22"/>
          <w:szCs w:val="22"/>
        </w:rPr>
      </w:pPr>
    </w:p>
    <w:p w14:paraId="6806403A" w14:textId="3F0ED9E3" w:rsidR="00851793" w:rsidRPr="00992EF8" w:rsidRDefault="00851793" w:rsidP="006D08A7">
      <w:pPr>
        <w:pStyle w:val="ListParagraph"/>
        <w:numPr>
          <w:ilvl w:val="0"/>
          <w:numId w:val="4"/>
        </w:numPr>
        <w:rPr>
          <w:rFonts w:asciiTheme="majorHAnsi" w:hAnsiTheme="majorHAnsi"/>
          <w:sz w:val="22"/>
          <w:szCs w:val="22"/>
        </w:rPr>
      </w:pPr>
      <w:r w:rsidRPr="00992EF8">
        <w:rPr>
          <w:rFonts w:asciiTheme="majorHAnsi" w:hAnsiTheme="majorHAnsi"/>
          <w:sz w:val="22"/>
          <w:szCs w:val="22"/>
        </w:rPr>
        <w:t>There have been large changes in inflation over the very long period. The high-inflationary environment of the 1980s appears to be an anomaly in the long-run data set and including this is likely to overstate the inflation rate that clients will experience.</w:t>
      </w:r>
    </w:p>
    <w:p w14:paraId="52DAD3FA" w14:textId="562835A5" w:rsidR="00851793" w:rsidRPr="00992EF8" w:rsidRDefault="00851793" w:rsidP="00851793">
      <w:pPr>
        <w:pStyle w:val="ListParagraph"/>
        <w:numPr>
          <w:ilvl w:val="0"/>
          <w:numId w:val="4"/>
        </w:numPr>
        <w:rPr>
          <w:rFonts w:asciiTheme="majorHAnsi" w:hAnsiTheme="majorHAnsi"/>
          <w:sz w:val="22"/>
          <w:szCs w:val="22"/>
        </w:rPr>
      </w:pPr>
      <w:r w:rsidRPr="00992EF8">
        <w:rPr>
          <w:rFonts w:asciiTheme="majorHAnsi" w:hAnsiTheme="majorHAnsi"/>
          <w:sz w:val="22"/>
          <w:szCs w:val="22"/>
        </w:rPr>
        <w:t>Data from the ONS for CPI is restricted to 29 years (1989 – 2017)</w:t>
      </w:r>
    </w:p>
    <w:p w14:paraId="3EB166F3" w14:textId="77777777" w:rsidR="00851793" w:rsidRPr="00992EF8" w:rsidRDefault="00851793" w:rsidP="00851793">
      <w:pPr>
        <w:rPr>
          <w:rFonts w:asciiTheme="majorHAnsi" w:hAnsiTheme="majorHAnsi"/>
          <w:sz w:val="22"/>
          <w:szCs w:val="22"/>
        </w:rPr>
      </w:pPr>
    </w:p>
    <w:p w14:paraId="63E0F26D" w14:textId="1469EBA2" w:rsidR="00851793" w:rsidRPr="00992EF8" w:rsidRDefault="00D8798B">
      <w:pPr>
        <w:rPr>
          <w:rFonts w:asciiTheme="majorHAnsi" w:hAnsiTheme="majorHAnsi"/>
          <w:b/>
          <w:sz w:val="22"/>
          <w:szCs w:val="22"/>
        </w:rPr>
      </w:pPr>
      <w:r w:rsidRPr="00992EF8">
        <w:rPr>
          <w:rFonts w:asciiTheme="majorHAnsi" w:hAnsiTheme="majorHAnsi"/>
          <w:noProof/>
          <w:lang w:val="en-US"/>
        </w:rPr>
        <w:drawing>
          <wp:inline distT="0" distB="0" distL="0" distR="0" wp14:anchorId="1624B27A" wp14:editId="5D15DCC6">
            <wp:extent cx="4681436" cy="3041631"/>
            <wp:effectExtent l="0" t="0" r="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2036" cy="3042021"/>
                    </a:xfrm>
                    <a:prstGeom prst="rect">
                      <a:avLst/>
                    </a:prstGeom>
                    <a:noFill/>
                    <a:ln>
                      <a:noFill/>
                    </a:ln>
                  </pic:spPr>
                </pic:pic>
              </a:graphicData>
            </a:graphic>
          </wp:inline>
        </w:drawing>
      </w:r>
    </w:p>
    <w:p w14:paraId="1F45F7CF" w14:textId="5A408D73" w:rsidR="00520E9F" w:rsidRPr="00992EF8" w:rsidRDefault="00520E9F">
      <w:pPr>
        <w:rPr>
          <w:rFonts w:asciiTheme="majorHAnsi" w:hAnsiTheme="majorHAnsi"/>
          <w:b/>
          <w:sz w:val="22"/>
          <w:szCs w:val="22"/>
        </w:rPr>
      </w:pPr>
      <w:r w:rsidRPr="00992EF8">
        <w:rPr>
          <w:rFonts w:asciiTheme="majorHAnsi" w:hAnsiTheme="majorHAnsi"/>
          <w:b/>
          <w:sz w:val="22"/>
          <w:szCs w:val="22"/>
        </w:rPr>
        <w:br w:type="page"/>
      </w:r>
    </w:p>
    <w:p w14:paraId="25876319" w14:textId="044069E0" w:rsidR="00520E9F" w:rsidRPr="00992EF8" w:rsidRDefault="00520E9F" w:rsidP="002D7D81">
      <w:pPr>
        <w:pStyle w:val="Heading2"/>
        <w:numPr>
          <w:ilvl w:val="0"/>
          <w:numId w:val="18"/>
        </w:numPr>
      </w:pPr>
      <w:bookmarkStart w:id="6" w:name="_Toc394484440"/>
      <w:r w:rsidRPr="00992EF8">
        <w:lastRenderedPageBreak/>
        <w:t>Cash</w:t>
      </w:r>
      <w:bookmarkEnd w:id="6"/>
    </w:p>
    <w:p w14:paraId="797F5907" w14:textId="77777777" w:rsidR="00520E9F" w:rsidRPr="00992EF8" w:rsidRDefault="00520E9F">
      <w:pPr>
        <w:rPr>
          <w:rFonts w:asciiTheme="majorHAnsi" w:hAnsiTheme="majorHAnsi"/>
          <w:b/>
          <w:sz w:val="22"/>
          <w:szCs w:val="22"/>
        </w:rPr>
      </w:pPr>
    </w:p>
    <w:p w14:paraId="362A697A" w14:textId="7D7EB1F2" w:rsidR="006A74D9" w:rsidRPr="00992EF8" w:rsidRDefault="006A74D9" w:rsidP="006A74D9">
      <w:pPr>
        <w:rPr>
          <w:rFonts w:asciiTheme="majorHAnsi" w:hAnsiTheme="majorHAnsi"/>
          <w:sz w:val="22"/>
          <w:szCs w:val="22"/>
        </w:rPr>
      </w:pPr>
      <w:r w:rsidRPr="00992EF8">
        <w:rPr>
          <w:rFonts w:asciiTheme="majorHAnsi" w:hAnsiTheme="majorHAnsi"/>
          <w:sz w:val="22"/>
          <w:szCs w:val="22"/>
        </w:rPr>
        <w:t>Over the long-term, cash (defined as the interest rate received on Building Society savings) has delivered a positive real return. The table below uses data from the Barclays Equity Gilt Study 2016, measuring returns of different asset classes to the end of 2016 (Allocation Blog, 2016).</w:t>
      </w:r>
    </w:p>
    <w:p w14:paraId="58FABEEA" w14:textId="77777777" w:rsidR="006A74D9" w:rsidRPr="00992EF8" w:rsidRDefault="006A74D9" w:rsidP="006A74D9">
      <w:pPr>
        <w:rPr>
          <w:rFonts w:asciiTheme="majorHAnsi" w:hAnsiTheme="majorHAnsi"/>
          <w:sz w:val="22"/>
          <w:szCs w:val="22"/>
        </w:rPr>
      </w:pPr>
    </w:p>
    <w:p w14:paraId="54D2ADE0" w14:textId="0AE4E3FF" w:rsidR="006A74D9" w:rsidRPr="00992EF8" w:rsidRDefault="006A74D9" w:rsidP="006A74D9">
      <w:pPr>
        <w:rPr>
          <w:rFonts w:asciiTheme="majorHAnsi" w:hAnsiTheme="majorHAnsi"/>
          <w:sz w:val="22"/>
          <w:szCs w:val="22"/>
        </w:rPr>
      </w:pPr>
      <w:r w:rsidRPr="00992EF8">
        <w:rPr>
          <w:rFonts w:asciiTheme="majorHAnsi" w:hAnsiTheme="majorHAnsi" w:cstheme="minorHAnsi"/>
          <w:noProof/>
          <w:lang w:val="en-US"/>
        </w:rPr>
        <w:drawing>
          <wp:inline distT="0" distB="0" distL="0" distR="0" wp14:anchorId="0A0B5248" wp14:editId="6F6040D0">
            <wp:extent cx="3990109" cy="2900924"/>
            <wp:effectExtent l="152400" t="171450" r="334645" b="3568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797" t="16516" r="50312" b="30630"/>
                    <a:stretch/>
                  </pic:blipFill>
                  <pic:spPr bwMode="auto">
                    <a:xfrm>
                      <a:off x="0" y="0"/>
                      <a:ext cx="4005265" cy="29119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D83061" w14:textId="77777777" w:rsidR="006A74D9" w:rsidRPr="00992EF8" w:rsidRDefault="006A74D9" w:rsidP="006A74D9">
      <w:pPr>
        <w:rPr>
          <w:rFonts w:asciiTheme="majorHAnsi" w:hAnsiTheme="majorHAnsi"/>
          <w:sz w:val="22"/>
          <w:szCs w:val="22"/>
        </w:rPr>
      </w:pPr>
    </w:p>
    <w:p w14:paraId="0FC4D69A" w14:textId="6E6BB485" w:rsidR="006A74D9" w:rsidRPr="00992EF8" w:rsidRDefault="006A74D9" w:rsidP="006A74D9">
      <w:pPr>
        <w:rPr>
          <w:rFonts w:asciiTheme="majorHAnsi" w:hAnsiTheme="majorHAnsi"/>
          <w:sz w:val="22"/>
          <w:szCs w:val="22"/>
        </w:rPr>
      </w:pPr>
      <w:r w:rsidRPr="00992EF8">
        <w:rPr>
          <w:rFonts w:asciiTheme="majorHAnsi" w:hAnsiTheme="majorHAnsi"/>
          <w:sz w:val="22"/>
          <w:szCs w:val="22"/>
        </w:rPr>
        <w:t xml:space="preserve">Over the last 10 years, cash has delivered a negative real return. This is partly because of low interest rates, which have reduced the interest rate available on cash savings. </w:t>
      </w:r>
    </w:p>
    <w:p w14:paraId="34F9385F" w14:textId="77777777" w:rsidR="006A74D9" w:rsidRPr="00992EF8" w:rsidRDefault="006A74D9" w:rsidP="006A74D9">
      <w:pPr>
        <w:rPr>
          <w:rFonts w:asciiTheme="majorHAnsi" w:hAnsiTheme="majorHAnsi"/>
          <w:sz w:val="22"/>
          <w:szCs w:val="22"/>
        </w:rPr>
      </w:pPr>
    </w:p>
    <w:p w14:paraId="57F45746" w14:textId="1EDA0398" w:rsidR="006A74D9" w:rsidRPr="00992EF8" w:rsidRDefault="006A74D9" w:rsidP="006A74D9">
      <w:pPr>
        <w:rPr>
          <w:rFonts w:asciiTheme="majorHAnsi" w:hAnsiTheme="majorHAnsi"/>
          <w:sz w:val="22"/>
          <w:szCs w:val="22"/>
        </w:rPr>
      </w:pPr>
      <w:r w:rsidRPr="00992EF8">
        <w:rPr>
          <w:rFonts w:asciiTheme="majorHAnsi" w:hAnsiTheme="majorHAnsi"/>
          <w:sz w:val="22"/>
          <w:szCs w:val="22"/>
        </w:rPr>
        <w:t xml:space="preserve">When considering the role of cash in client’s portfolios, cash is most likely used to cover short-term expenditure. Cash is therefore likely to be held in an easy or instant access current or savings account and is unlikely to benefit from higher interest rates available for fixed-rate bonds. </w:t>
      </w:r>
    </w:p>
    <w:p w14:paraId="78D0E6AD" w14:textId="77777777" w:rsidR="006A74D9" w:rsidRPr="00992EF8" w:rsidRDefault="006A74D9" w:rsidP="006A74D9">
      <w:pPr>
        <w:rPr>
          <w:rFonts w:asciiTheme="majorHAnsi" w:hAnsiTheme="majorHAnsi"/>
          <w:sz w:val="22"/>
          <w:szCs w:val="22"/>
        </w:rPr>
      </w:pPr>
    </w:p>
    <w:p w14:paraId="6D61C86B" w14:textId="5E998054" w:rsidR="006A74D9" w:rsidRPr="00992EF8" w:rsidRDefault="006A74D9" w:rsidP="006A74D9">
      <w:pPr>
        <w:rPr>
          <w:rFonts w:asciiTheme="majorHAnsi" w:hAnsiTheme="majorHAnsi"/>
          <w:sz w:val="22"/>
          <w:szCs w:val="22"/>
        </w:rPr>
      </w:pPr>
      <w:r w:rsidRPr="00992EF8">
        <w:rPr>
          <w:rFonts w:asciiTheme="majorHAnsi" w:hAnsiTheme="majorHAnsi"/>
          <w:sz w:val="22"/>
          <w:szCs w:val="22"/>
        </w:rPr>
        <w:t>If clients constantly change their savings account provider, it is possible for cash to deliver a positive real return in most years (Money Marketing, 2016). The experience with clients has been that they are unlikely to constantly change their savings account provider and instead are more likely to stick with their current provider, even when this provides them with a lower interest rate on their cash savings.</w:t>
      </w:r>
    </w:p>
    <w:p w14:paraId="384585A0" w14:textId="77777777" w:rsidR="006A74D9" w:rsidRPr="00992EF8" w:rsidRDefault="006A74D9" w:rsidP="006A74D9">
      <w:pPr>
        <w:rPr>
          <w:rFonts w:asciiTheme="majorHAnsi" w:hAnsiTheme="majorHAnsi"/>
          <w:sz w:val="22"/>
          <w:szCs w:val="22"/>
        </w:rPr>
      </w:pPr>
    </w:p>
    <w:p w14:paraId="2C68A0DE" w14:textId="3F609878" w:rsidR="006A74D9" w:rsidRPr="00992EF8" w:rsidRDefault="006A74D9" w:rsidP="006A74D9">
      <w:pPr>
        <w:rPr>
          <w:rFonts w:asciiTheme="majorHAnsi" w:hAnsiTheme="majorHAnsi"/>
          <w:sz w:val="22"/>
          <w:szCs w:val="22"/>
        </w:rPr>
      </w:pPr>
      <w:r w:rsidRPr="00992EF8">
        <w:rPr>
          <w:rFonts w:asciiTheme="majorHAnsi" w:hAnsiTheme="majorHAnsi"/>
          <w:sz w:val="22"/>
          <w:szCs w:val="22"/>
        </w:rPr>
        <w:t xml:space="preserve">The view has been taken that client’s cash holdings are likely to underperform inflation by 1.50% per year. </w:t>
      </w:r>
    </w:p>
    <w:p w14:paraId="228E124B" w14:textId="346C62A4" w:rsidR="009B3983" w:rsidRPr="00992EF8" w:rsidRDefault="009B3983">
      <w:pPr>
        <w:rPr>
          <w:rFonts w:asciiTheme="majorHAnsi" w:hAnsiTheme="majorHAnsi"/>
          <w:sz w:val="22"/>
          <w:szCs w:val="22"/>
        </w:rPr>
      </w:pPr>
      <w:r w:rsidRPr="00992EF8">
        <w:rPr>
          <w:rFonts w:asciiTheme="majorHAnsi" w:hAnsiTheme="majorHAnsi"/>
          <w:sz w:val="22"/>
          <w:szCs w:val="22"/>
        </w:rPr>
        <w:br w:type="page"/>
      </w:r>
    </w:p>
    <w:p w14:paraId="59DE22BC" w14:textId="7DBEA09B" w:rsidR="00ED12E4" w:rsidRPr="00992EF8" w:rsidRDefault="00ED12E4" w:rsidP="002D7D81">
      <w:pPr>
        <w:pStyle w:val="Heading2"/>
        <w:numPr>
          <w:ilvl w:val="0"/>
          <w:numId w:val="18"/>
        </w:numPr>
      </w:pPr>
      <w:bookmarkStart w:id="7" w:name="_Toc394484441"/>
      <w:r w:rsidRPr="00992EF8">
        <w:lastRenderedPageBreak/>
        <w:t>Asset Class Projections</w:t>
      </w:r>
      <w:bookmarkEnd w:id="7"/>
    </w:p>
    <w:p w14:paraId="39E76947" w14:textId="77777777" w:rsidR="00ED12E4" w:rsidRPr="00992EF8" w:rsidRDefault="00ED12E4">
      <w:pPr>
        <w:rPr>
          <w:rFonts w:asciiTheme="majorHAnsi" w:hAnsiTheme="majorHAnsi"/>
          <w:sz w:val="22"/>
          <w:szCs w:val="22"/>
        </w:rPr>
      </w:pPr>
    </w:p>
    <w:p w14:paraId="0CF5F5E3" w14:textId="1F8288AE" w:rsidR="00ED12E4" w:rsidRPr="00992EF8" w:rsidRDefault="00ED12E4" w:rsidP="00ED12E4">
      <w:pPr>
        <w:jc w:val="both"/>
        <w:rPr>
          <w:rFonts w:asciiTheme="majorHAnsi" w:hAnsiTheme="majorHAnsi" w:cstheme="minorHAnsi"/>
          <w:i/>
          <w:sz w:val="22"/>
          <w:szCs w:val="22"/>
        </w:rPr>
      </w:pPr>
      <w:r w:rsidRPr="00992EF8">
        <w:rPr>
          <w:rFonts w:asciiTheme="majorHAnsi" w:hAnsiTheme="majorHAnsi" w:cstheme="minorHAnsi"/>
          <w:sz w:val="22"/>
          <w:szCs w:val="22"/>
        </w:rPr>
        <w:t xml:space="preserve">In order to derive meaningful portfolio returns linked to clients risk appetites over different timeframes, it is necessary to establish assumed returns into the future for the major assets classes. These are cash, gilts, corporate bonds, property and equities. The Barclays Capital Equity Gilts study and the PwC September 2017 paper both provide good source data for this exercise. </w:t>
      </w:r>
      <w:r w:rsidRPr="00992EF8">
        <w:rPr>
          <w:rFonts w:asciiTheme="majorHAnsi" w:hAnsiTheme="majorHAnsi" w:cstheme="minorHAnsi"/>
          <w:i/>
          <w:sz w:val="22"/>
          <w:szCs w:val="22"/>
        </w:rPr>
        <w:t xml:space="preserve">      </w:t>
      </w:r>
    </w:p>
    <w:p w14:paraId="2E04AD19" w14:textId="52E6BEB6" w:rsidR="00ED12E4" w:rsidRPr="00992EF8" w:rsidRDefault="00ED12E4" w:rsidP="00ED12E4">
      <w:pPr>
        <w:jc w:val="both"/>
        <w:rPr>
          <w:rFonts w:asciiTheme="majorHAnsi" w:hAnsiTheme="majorHAnsi" w:cstheme="minorHAnsi"/>
          <w:i/>
          <w:sz w:val="22"/>
          <w:szCs w:val="22"/>
        </w:rPr>
      </w:pPr>
      <w:r w:rsidRPr="00992EF8">
        <w:rPr>
          <w:rFonts w:asciiTheme="majorHAnsi" w:hAnsiTheme="majorHAnsi" w:cstheme="minorHAnsi"/>
          <w:i/>
          <w:sz w:val="22"/>
          <w:szCs w:val="22"/>
        </w:rPr>
        <w:t xml:space="preserve"> </w:t>
      </w:r>
    </w:p>
    <w:p w14:paraId="0471632A" w14:textId="77777777" w:rsidR="00ED12E4" w:rsidRPr="00992EF8" w:rsidRDefault="00ED12E4" w:rsidP="00ED12E4">
      <w:pPr>
        <w:jc w:val="both"/>
        <w:rPr>
          <w:rFonts w:asciiTheme="majorHAnsi" w:hAnsiTheme="majorHAnsi" w:cstheme="minorHAnsi"/>
          <w:sz w:val="22"/>
          <w:szCs w:val="22"/>
        </w:rPr>
      </w:pPr>
      <w:r w:rsidRPr="00992EF8">
        <w:rPr>
          <w:rFonts w:asciiTheme="majorHAnsi" w:hAnsiTheme="majorHAnsi" w:cstheme="minorHAnsi"/>
          <w:sz w:val="22"/>
          <w:szCs w:val="22"/>
        </w:rPr>
        <w:t>The PwC 2017 paper provides more granularity as it looks not only at gilts and equities but also at other classes, including corporate bonds, property and cash deposits. Moreover it is commissioned by the Financial Conduct Authority in order to provide projection rates for financial services companies to use in their calculations when providing retail clients with projections of future benefits. It is the fourth iteration of the review, previous studies having been published in 2003, 2008 and 2012. The report was commissioned to provide intermediate returns using a base case portfolio. Its relevance is clear.</w:t>
      </w:r>
    </w:p>
    <w:p w14:paraId="15245605" w14:textId="77777777" w:rsidR="00ED12E4" w:rsidRPr="00992EF8" w:rsidRDefault="00ED12E4">
      <w:pPr>
        <w:rPr>
          <w:rFonts w:asciiTheme="majorHAnsi" w:hAnsiTheme="majorHAnsi"/>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942"/>
        <w:gridCol w:w="3378"/>
      </w:tblGrid>
      <w:tr w:rsidR="007C66D5" w:rsidRPr="00992EF8" w14:paraId="6ECEFBCB" w14:textId="77777777" w:rsidTr="000717F8">
        <w:trPr>
          <w:trHeight w:val="405"/>
        </w:trPr>
        <w:tc>
          <w:tcPr>
            <w:tcW w:w="2970" w:type="pct"/>
            <w:shd w:val="clear" w:color="auto" w:fill="C00000"/>
            <w:vAlign w:val="center"/>
          </w:tcPr>
          <w:p w14:paraId="574532CD" w14:textId="77777777" w:rsidR="007C66D5" w:rsidRPr="00992EF8" w:rsidRDefault="007C66D5" w:rsidP="00ED12E4">
            <w:pPr>
              <w:pStyle w:val="TableParagraph"/>
              <w:rPr>
                <w:rFonts w:asciiTheme="majorHAnsi" w:hAnsiTheme="majorHAnsi" w:cstheme="minorHAnsi"/>
                <w:sz w:val="20"/>
                <w:szCs w:val="20"/>
              </w:rPr>
            </w:pPr>
          </w:p>
        </w:tc>
        <w:tc>
          <w:tcPr>
            <w:tcW w:w="2030" w:type="pct"/>
            <w:shd w:val="clear" w:color="auto" w:fill="C00000"/>
            <w:vAlign w:val="center"/>
          </w:tcPr>
          <w:p w14:paraId="4204E509" w14:textId="4D90CF99" w:rsidR="007C66D5" w:rsidRPr="00992EF8" w:rsidRDefault="007C66D5" w:rsidP="00ED12E4">
            <w:pPr>
              <w:pStyle w:val="TableParagraph"/>
              <w:spacing w:before="116" w:line="252" w:lineRule="auto"/>
              <w:ind w:right="209"/>
              <w:rPr>
                <w:rFonts w:asciiTheme="majorHAnsi" w:hAnsiTheme="majorHAnsi" w:cstheme="minorHAnsi"/>
                <w:b/>
                <w:sz w:val="20"/>
                <w:szCs w:val="20"/>
              </w:rPr>
            </w:pPr>
            <w:r w:rsidRPr="00992EF8">
              <w:rPr>
                <w:rFonts w:asciiTheme="majorHAnsi" w:hAnsiTheme="majorHAnsi" w:cstheme="minorHAnsi"/>
                <w:b/>
                <w:color w:val="FFFFFF"/>
                <w:w w:val="105"/>
                <w:sz w:val="20"/>
                <w:szCs w:val="20"/>
              </w:rPr>
              <w:t>2017 Report Range</w:t>
            </w:r>
          </w:p>
        </w:tc>
      </w:tr>
      <w:tr w:rsidR="007C66D5" w:rsidRPr="00992EF8" w14:paraId="5C5E2B7C" w14:textId="77777777" w:rsidTr="000717F8">
        <w:trPr>
          <w:trHeight w:val="325"/>
        </w:trPr>
        <w:tc>
          <w:tcPr>
            <w:tcW w:w="2970" w:type="pct"/>
            <w:vAlign w:val="center"/>
          </w:tcPr>
          <w:p w14:paraId="5E7939F5" w14:textId="043A1D57" w:rsidR="007C66D5" w:rsidRPr="00992EF8" w:rsidRDefault="007C66D5" w:rsidP="00ED12E4">
            <w:pPr>
              <w:pStyle w:val="TableParagraph"/>
              <w:spacing w:before="5" w:line="254" w:lineRule="auto"/>
              <w:ind w:left="110" w:right="229"/>
              <w:rPr>
                <w:rFonts w:asciiTheme="majorHAnsi" w:hAnsiTheme="majorHAnsi" w:cstheme="minorHAnsi"/>
                <w:w w:val="105"/>
                <w:sz w:val="20"/>
                <w:szCs w:val="20"/>
              </w:rPr>
            </w:pPr>
            <w:r w:rsidRPr="00992EF8">
              <w:rPr>
                <w:rFonts w:asciiTheme="majorHAnsi" w:hAnsiTheme="majorHAnsi" w:cstheme="minorHAnsi"/>
                <w:w w:val="105"/>
                <w:sz w:val="20"/>
                <w:szCs w:val="20"/>
              </w:rPr>
              <w:t>Nominal Government Bonds</w:t>
            </w:r>
          </w:p>
        </w:tc>
        <w:tc>
          <w:tcPr>
            <w:tcW w:w="2030" w:type="pct"/>
            <w:vAlign w:val="center"/>
          </w:tcPr>
          <w:p w14:paraId="0F324EB5" w14:textId="21A9A37E" w:rsidR="007C66D5" w:rsidRPr="00992EF8" w:rsidRDefault="007C66D5" w:rsidP="00780A45">
            <w:pPr>
              <w:pStyle w:val="TableParagraph"/>
              <w:spacing w:before="5"/>
              <w:ind w:right="115"/>
              <w:rPr>
                <w:rFonts w:asciiTheme="majorHAnsi" w:hAnsiTheme="majorHAnsi" w:cstheme="minorHAnsi"/>
                <w:w w:val="105"/>
                <w:sz w:val="20"/>
                <w:szCs w:val="20"/>
              </w:rPr>
            </w:pPr>
            <w:r w:rsidRPr="00992EF8">
              <w:rPr>
                <w:rFonts w:asciiTheme="majorHAnsi" w:hAnsiTheme="majorHAnsi" w:cstheme="minorHAnsi"/>
                <w:w w:val="105"/>
                <w:sz w:val="20"/>
                <w:szCs w:val="20"/>
              </w:rPr>
              <w:t>1.5% to 2.5%</w:t>
            </w:r>
          </w:p>
        </w:tc>
      </w:tr>
      <w:tr w:rsidR="007C66D5" w:rsidRPr="00992EF8" w14:paraId="70F60397" w14:textId="77777777" w:rsidTr="000717F8">
        <w:trPr>
          <w:trHeight w:val="325"/>
        </w:trPr>
        <w:tc>
          <w:tcPr>
            <w:tcW w:w="2970" w:type="pct"/>
            <w:vAlign w:val="center"/>
          </w:tcPr>
          <w:p w14:paraId="4451E555" w14:textId="5C25EB36" w:rsidR="007C66D5" w:rsidRPr="00992EF8" w:rsidRDefault="007C66D5" w:rsidP="00ED12E4">
            <w:pPr>
              <w:pStyle w:val="TableParagraph"/>
              <w:spacing w:before="5" w:line="254" w:lineRule="auto"/>
              <w:ind w:left="110" w:right="229"/>
              <w:rPr>
                <w:rFonts w:asciiTheme="majorHAnsi" w:hAnsiTheme="majorHAnsi" w:cstheme="minorHAnsi"/>
                <w:w w:val="105"/>
                <w:sz w:val="20"/>
                <w:szCs w:val="20"/>
              </w:rPr>
            </w:pPr>
            <w:r w:rsidRPr="00992EF8">
              <w:rPr>
                <w:rFonts w:asciiTheme="majorHAnsi" w:hAnsiTheme="majorHAnsi" w:cstheme="minorHAnsi"/>
                <w:w w:val="105"/>
                <w:sz w:val="20"/>
                <w:szCs w:val="20"/>
              </w:rPr>
              <w:t>Nominal Equity Returns</w:t>
            </w:r>
          </w:p>
        </w:tc>
        <w:tc>
          <w:tcPr>
            <w:tcW w:w="2030" w:type="pct"/>
            <w:vAlign w:val="center"/>
          </w:tcPr>
          <w:p w14:paraId="32E528BC" w14:textId="3B0C46F1" w:rsidR="007C66D5" w:rsidRPr="00992EF8" w:rsidRDefault="007C66D5" w:rsidP="00780A45">
            <w:pPr>
              <w:pStyle w:val="TableParagraph"/>
              <w:spacing w:before="5"/>
              <w:ind w:right="115"/>
              <w:rPr>
                <w:rFonts w:asciiTheme="majorHAnsi" w:hAnsiTheme="majorHAnsi" w:cstheme="minorHAnsi"/>
                <w:w w:val="105"/>
                <w:sz w:val="20"/>
                <w:szCs w:val="20"/>
              </w:rPr>
            </w:pPr>
            <w:r w:rsidRPr="00992EF8">
              <w:rPr>
                <w:rFonts w:asciiTheme="majorHAnsi" w:hAnsiTheme="majorHAnsi" w:cstheme="minorHAnsi"/>
                <w:w w:val="105"/>
                <w:sz w:val="20"/>
                <w:szCs w:val="20"/>
              </w:rPr>
              <w:t>5.5% to 7.5%</w:t>
            </w:r>
          </w:p>
        </w:tc>
      </w:tr>
      <w:tr w:rsidR="007C66D5" w:rsidRPr="00992EF8" w14:paraId="4FBF893D" w14:textId="77777777" w:rsidTr="000717F8">
        <w:trPr>
          <w:trHeight w:val="325"/>
        </w:trPr>
        <w:tc>
          <w:tcPr>
            <w:tcW w:w="2970" w:type="pct"/>
            <w:vAlign w:val="center"/>
          </w:tcPr>
          <w:p w14:paraId="2B855A0D" w14:textId="1B37E5FC" w:rsidR="007C66D5" w:rsidRPr="00992EF8" w:rsidRDefault="007C66D5" w:rsidP="00ED12E4">
            <w:pPr>
              <w:pStyle w:val="TableParagraph"/>
              <w:spacing w:before="5" w:line="254" w:lineRule="auto"/>
              <w:ind w:left="110" w:right="229"/>
              <w:rPr>
                <w:rFonts w:asciiTheme="majorHAnsi" w:hAnsiTheme="majorHAnsi" w:cstheme="minorHAnsi"/>
                <w:w w:val="105"/>
                <w:sz w:val="20"/>
                <w:szCs w:val="20"/>
              </w:rPr>
            </w:pPr>
            <w:r w:rsidRPr="00992EF8">
              <w:rPr>
                <w:rFonts w:asciiTheme="majorHAnsi" w:hAnsiTheme="majorHAnsi" w:cstheme="minorHAnsi"/>
                <w:w w:val="105"/>
                <w:sz w:val="20"/>
                <w:szCs w:val="20"/>
              </w:rPr>
              <w:t>Nominal Corporate Bond Returns</w:t>
            </w:r>
          </w:p>
        </w:tc>
        <w:tc>
          <w:tcPr>
            <w:tcW w:w="2030" w:type="pct"/>
            <w:vAlign w:val="center"/>
          </w:tcPr>
          <w:p w14:paraId="661B758D" w14:textId="7A53C514" w:rsidR="007C66D5" w:rsidRPr="00992EF8" w:rsidRDefault="007C66D5" w:rsidP="00780A45">
            <w:pPr>
              <w:pStyle w:val="TableParagraph"/>
              <w:spacing w:before="5"/>
              <w:ind w:right="115"/>
              <w:rPr>
                <w:rFonts w:asciiTheme="majorHAnsi" w:hAnsiTheme="majorHAnsi" w:cstheme="minorHAnsi"/>
                <w:w w:val="105"/>
                <w:sz w:val="20"/>
                <w:szCs w:val="20"/>
              </w:rPr>
            </w:pPr>
            <w:r w:rsidRPr="00992EF8">
              <w:rPr>
                <w:rFonts w:asciiTheme="majorHAnsi" w:hAnsiTheme="majorHAnsi" w:cstheme="minorHAnsi"/>
                <w:w w:val="105"/>
                <w:sz w:val="20"/>
                <w:szCs w:val="20"/>
              </w:rPr>
              <w:t>2.6% to 3%</w:t>
            </w:r>
          </w:p>
        </w:tc>
      </w:tr>
      <w:tr w:rsidR="007C66D5" w:rsidRPr="00992EF8" w14:paraId="128FFC61" w14:textId="77777777" w:rsidTr="000717F8">
        <w:trPr>
          <w:trHeight w:val="325"/>
        </w:trPr>
        <w:tc>
          <w:tcPr>
            <w:tcW w:w="2970" w:type="pct"/>
            <w:vAlign w:val="center"/>
          </w:tcPr>
          <w:p w14:paraId="238B2E57" w14:textId="1CC8E411" w:rsidR="007C66D5" w:rsidRPr="00992EF8" w:rsidRDefault="007C66D5" w:rsidP="00ED12E4">
            <w:pPr>
              <w:pStyle w:val="TableParagraph"/>
              <w:spacing w:before="5" w:line="254" w:lineRule="auto"/>
              <w:ind w:left="110" w:right="229"/>
              <w:rPr>
                <w:rFonts w:asciiTheme="majorHAnsi" w:hAnsiTheme="majorHAnsi" w:cstheme="minorHAnsi"/>
                <w:w w:val="105"/>
                <w:sz w:val="20"/>
                <w:szCs w:val="20"/>
              </w:rPr>
            </w:pPr>
            <w:r w:rsidRPr="00992EF8">
              <w:rPr>
                <w:rFonts w:asciiTheme="majorHAnsi" w:hAnsiTheme="majorHAnsi" w:cstheme="minorHAnsi"/>
                <w:w w:val="105"/>
                <w:sz w:val="20"/>
                <w:szCs w:val="20"/>
              </w:rPr>
              <w:t>Nominal Property Returns</w:t>
            </w:r>
          </w:p>
        </w:tc>
        <w:tc>
          <w:tcPr>
            <w:tcW w:w="2030" w:type="pct"/>
            <w:vAlign w:val="center"/>
          </w:tcPr>
          <w:p w14:paraId="433E6113" w14:textId="3A26F32F" w:rsidR="007C66D5" w:rsidRPr="00992EF8" w:rsidRDefault="007C66D5" w:rsidP="00780A45">
            <w:pPr>
              <w:pStyle w:val="TableParagraph"/>
              <w:spacing w:before="5"/>
              <w:ind w:right="115"/>
              <w:rPr>
                <w:rFonts w:asciiTheme="majorHAnsi" w:hAnsiTheme="majorHAnsi" w:cstheme="minorHAnsi"/>
                <w:w w:val="105"/>
                <w:sz w:val="20"/>
                <w:szCs w:val="20"/>
              </w:rPr>
            </w:pPr>
            <w:r w:rsidRPr="00992EF8">
              <w:rPr>
                <w:rFonts w:asciiTheme="majorHAnsi" w:hAnsiTheme="majorHAnsi" w:cstheme="minorHAnsi"/>
                <w:w w:val="105"/>
                <w:sz w:val="20"/>
                <w:szCs w:val="20"/>
              </w:rPr>
              <w:t>5% to 6%</w:t>
            </w:r>
          </w:p>
        </w:tc>
      </w:tr>
      <w:tr w:rsidR="007C66D5" w:rsidRPr="00992EF8" w14:paraId="2D1DBB25" w14:textId="77777777" w:rsidTr="000717F8">
        <w:trPr>
          <w:trHeight w:val="325"/>
        </w:trPr>
        <w:tc>
          <w:tcPr>
            <w:tcW w:w="2970" w:type="pct"/>
            <w:vAlign w:val="center"/>
          </w:tcPr>
          <w:p w14:paraId="5129FD66" w14:textId="5A2572D1" w:rsidR="007C66D5" w:rsidRPr="00992EF8" w:rsidRDefault="007C66D5" w:rsidP="00ED12E4">
            <w:pPr>
              <w:pStyle w:val="TableParagraph"/>
              <w:spacing w:before="5" w:line="254" w:lineRule="auto"/>
              <w:ind w:left="110" w:right="229"/>
              <w:rPr>
                <w:rFonts w:asciiTheme="majorHAnsi" w:hAnsiTheme="majorHAnsi" w:cstheme="minorHAnsi"/>
                <w:w w:val="105"/>
                <w:sz w:val="20"/>
                <w:szCs w:val="20"/>
              </w:rPr>
            </w:pPr>
            <w:r w:rsidRPr="00992EF8">
              <w:rPr>
                <w:rFonts w:asciiTheme="majorHAnsi" w:hAnsiTheme="majorHAnsi" w:cstheme="minorHAnsi"/>
                <w:w w:val="105"/>
                <w:sz w:val="20"/>
                <w:szCs w:val="20"/>
              </w:rPr>
              <w:t>Nominal Cash and Money Markets Returns</w:t>
            </w:r>
          </w:p>
        </w:tc>
        <w:tc>
          <w:tcPr>
            <w:tcW w:w="2030" w:type="pct"/>
            <w:vAlign w:val="center"/>
          </w:tcPr>
          <w:p w14:paraId="327D97B3" w14:textId="77777777" w:rsidR="007C66D5" w:rsidRPr="00992EF8" w:rsidRDefault="007C66D5" w:rsidP="00ED12E4">
            <w:pPr>
              <w:pStyle w:val="TableParagraph"/>
              <w:spacing w:before="12"/>
              <w:rPr>
                <w:rFonts w:asciiTheme="majorHAnsi" w:hAnsiTheme="majorHAnsi" w:cstheme="minorHAnsi"/>
                <w:b/>
                <w:i/>
                <w:sz w:val="20"/>
                <w:szCs w:val="20"/>
              </w:rPr>
            </w:pPr>
          </w:p>
          <w:p w14:paraId="1EC99B24" w14:textId="17317031" w:rsidR="007C66D5" w:rsidRPr="00992EF8" w:rsidRDefault="007C66D5" w:rsidP="007C66D5">
            <w:pPr>
              <w:pStyle w:val="TableParagraph"/>
              <w:spacing w:before="5"/>
              <w:ind w:right="115"/>
              <w:rPr>
                <w:rFonts w:asciiTheme="majorHAnsi" w:hAnsiTheme="majorHAnsi" w:cstheme="minorHAnsi"/>
                <w:w w:val="105"/>
                <w:sz w:val="20"/>
                <w:szCs w:val="20"/>
              </w:rPr>
            </w:pPr>
            <w:r w:rsidRPr="00992EF8">
              <w:rPr>
                <w:rFonts w:asciiTheme="majorHAnsi" w:hAnsiTheme="majorHAnsi" w:cstheme="minorHAnsi"/>
                <w:w w:val="105"/>
                <w:sz w:val="20"/>
                <w:szCs w:val="20"/>
              </w:rPr>
              <w:t>1% to 2%</w:t>
            </w:r>
          </w:p>
        </w:tc>
      </w:tr>
    </w:tbl>
    <w:p w14:paraId="1023E016" w14:textId="77777777" w:rsidR="00527C07" w:rsidRPr="00992EF8" w:rsidRDefault="00527C07">
      <w:pPr>
        <w:rPr>
          <w:rFonts w:asciiTheme="majorHAnsi" w:hAnsiTheme="majorHAnsi"/>
          <w:sz w:val="22"/>
          <w:szCs w:val="22"/>
        </w:rPr>
      </w:pPr>
    </w:p>
    <w:p w14:paraId="0120ABA9" w14:textId="56866BEF" w:rsidR="007C66D5" w:rsidRPr="00992EF8" w:rsidRDefault="007C66D5">
      <w:pPr>
        <w:rPr>
          <w:rFonts w:asciiTheme="majorHAnsi" w:hAnsiTheme="majorHAnsi"/>
          <w:sz w:val="22"/>
          <w:szCs w:val="22"/>
        </w:rPr>
      </w:pPr>
      <w:r w:rsidRPr="00992EF8">
        <w:rPr>
          <w:rFonts w:asciiTheme="majorHAnsi" w:hAnsiTheme="majorHAnsi"/>
          <w:sz w:val="22"/>
          <w:szCs w:val="22"/>
        </w:rPr>
        <w:t xml:space="preserve">The PWC/FCA report did not distinguish between different classes of equities. There is a large swathe of evidence that states that: </w:t>
      </w:r>
    </w:p>
    <w:p w14:paraId="350F336F" w14:textId="77777777" w:rsidR="007C66D5" w:rsidRPr="00992EF8" w:rsidRDefault="007C66D5">
      <w:pPr>
        <w:rPr>
          <w:rFonts w:asciiTheme="majorHAnsi" w:hAnsiTheme="majorHAnsi"/>
          <w:sz w:val="22"/>
          <w:szCs w:val="22"/>
        </w:rPr>
      </w:pPr>
    </w:p>
    <w:p w14:paraId="02FD0D51" w14:textId="3099D2DF" w:rsidR="008A4C8D" w:rsidRPr="00992EF8" w:rsidRDefault="007C66D5" w:rsidP="00527C07">
      <w:pPr>
        <w:pStyle w:val="ListParagraph"/>
        <w:numPr>
          <w:ilvl w:val="0"/>
          <w:numId w:val="9"/>
        </w:numPr>
        <w:rPr>
          <w:rFonts w:asciiTheme="majorHAnsi" w:hAnsiTheme="majorHAnsi"/>
          <w:sz w:val="22"/>
          <w:szCs w:val="22"/>
        </w:rPr>
      </w:pPr>
      <w:r w:rsidRPr="00992EF8">
        <w:rPr>
          <w:rFonts w:asciiTheme="majorHAnsi" w:hAnsiTheme="majorHAnsi"/>
          <w:sz w:val="22"/>
          <w:szCs w:val="22"/>
        </w:rPr>
        <w:t>Smaller cap and value equities outperform large cap and growth equities over the long-term. We have therefore projected a higher rate of return for these types of asset classes than other types of equities</w:t>
      </w:r>
      <w:r w:rsidR="004B29AB" w:rsidRPr="00992EF8">
        <w:rPr>
          <w:rFonts w:asciiTheme="majorHAnsi" w:hAnsiTheme="majorHAnsi"/>
          <w:sz w:val="22"/>
          <w:szCs w:val="22"/>
        </w:rPr>
        <w:t xml:space="preserve"> (Dimensional, 2018)</w:t>
      </w:r>
      <w:r w:rsidRPr="00992EF8">
        <w:rPr>
          <w:rFonts w:asciiTheme="majorHAnsi" w:hAnsiTheme="majorHAnsi"/>
          <w:sz w:val="22"/>
          <w:szCs w:val="22"/>
        </w:rPr>
        <w:t>.</w:t>
      </w:r>
    </w:p>
    <w:p w14:paraId="53BE6A08" w14:textId="77777777" w:rsidR="00527C07" w:rsidRPr="00992EF8" w:rsidRDefault="00527C07" w:rsidP="00527C07">
      <w:pPr>
        <w:pStyle w:val="ListParagraph"/>
        <w:rPr>
          <w:rFonts w:asciiTheme="majorHAnsi" w:hAnsiTheme="majorHAnsi"/>
          <w:sz w:val="22"/>
          <w:szCs w:val="22"/>
        </w:rPr>
      </w:pPr>
    </w:p>
    <w:p w14:paraId="07686F07" w14:textId="483D64DE" w:rsidR="007C66D5" w:rsidRPr="00992EF8" w:rsidRDefault="004B29AB" w:rsidP="00527C07">
      <w:pPr>
        <w:ind w:left="720"/>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1C7F0AAB" wp14:editId="5D8BB57D">
            <wp:extent cx="4145234" cy="2971800"/>
            <wp:effectExtent l="0" t="0" r="0" b="0"/>
            <wp:docPr id="8" name="Picture 8" descr="Macintosh HD:Users:christopherhindle:Dropbox:Screenshots:Screenshot 2018-07-28 23.4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hindle:Dropbox:Screenshots:Screenshot 2018-07-28 23.48.4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5234" cy="2971800"/>
                    </a:xfrm>
                    <a:prstGeom prst="rect">
                      <a:avLst/>
                    </a:prstGeom>
                    <a:noFill/>
                    <a:ln>
                      <a:noFill/>
                    </a:ln>
                  </pic:spPr>
                </pic:pic>
              </a:graphicData>
            </a:graphic>
          </wp:inline>
        </w:drawing>
      </w:r>
    </w:p>
    <w:p w14:paraId="54F2737B" w14:textId="77777777" w:rsidR="004B29AB" w:rsidRPr="00992EF8" w:rsidRDefault="004B29AB" w:rsidP="004B29AB">
      <w:pPr>
        <w:ind w:left="360"/>
        <w:rPr>
          <w:rFonts w:asciiTheme="majorHAnsi" w:hAnsiTheme="majorHAnsi"/>
          <w:sz w:val="22"/>
          <w:szCs w:val="22"/>
        </w:rPr>
      </w:pPr>
    </w:p>
    <w:p w14:paraId="2F2AD36C" w14:textId="3B40CDF7" w:rsidR="007C66D5" w:rsidRPr="00992EF8" w:rsidRDefault="007C66D5" w:rsidP="00527C07">
      <w:pPr>
        <w:pStyle w:val="ListParagraph"/>
        <w:numPr>
          <w:ilvl w:val="0"/>
          <w:numId w:val="9"/>
        </w:numPr>
        <w:rPr>
          <w:rFonts w:asciiTheme="majorHAnsi" w:hAnsiTheme="majorHAnsi"/>
          <w:sz w:val="22"/>
          <w:szCs w:val="22"/>
        </w:rPr>
      </w:pPr>
      <w:r w:rsidRPr="00992EF8">
        <w:rPr>
          <w:rFonts w:asciiTheme="majorHAnsi" w:hAnsiTheme="majorHAnsi"/>
          <w:sz w:val="22"/>
          <w:szCs w:val="22"/>
        </w:rPr>
        <w:lastRenderedPageBreak/>
        <w:t xml:space="preserve">Emerging market equities outperform developed market equities over the long-term. We have therefore projected a higher rate of return for these types of assets </w:t>
      </w:r>
      <w:r w:rsidR="00527C07" w:rsidRPr="00992EF8">
        <w:rPr>
          <w:rFonts w:asciiTheme="majorHAnsi" w:hAnsiTheme="majorHAnsi"/>
          <w:sz w:val="22"/>
          <w:szCs w:val="22"/>
        </w:rPr>
        <w:t>over other types of equities (</w:t>
      </w:r>
      <w:proofErr w:type="spellStart"/>
      <w:r w:rsidR="00527C07" w:rsidRPr="00992EF8">
        <w:rPr>
          <w:rFonts w:asciiTheme="majorHAnsi" w:hAnsiTheme="majorHAnsi"/>
          <w:sz w:val="22"/>
          <w:szCs w:val="22"/>
        </w:rPr>
        <w:t>Salomons</w:t>
      </w:r>
      <w:proofErr w:type="spellEnd"/>
      <w:r w:rsidR="00527C07" w:rsidRPr="00992EF8">
        <w:rPr>
          <w:rFonts w:asciiTheme="majorHAnsi" w:hAnsiTheme="majorHAnsi"/>
          <w:sz w:val="22"/>
          <w:szCs w:val="22"/>
        </w:rPr>
        <w:t xml:space="preserve"> and </w:t>
      </w:r>
      <w:proofErr w:type="spellStart"/>
      <w:r w:rsidR="00527C07" w:rsidRPr="00992EF8">
        <w:rPr>
          <w:rFonts w:asciiTheme="majorHAnsi" w:hAnsiTheme="majorHAnsi"/>
          <w:sz w:val="22"/>
          <w:szCs w:val="22"/>
        </w:rPr>
        <w:t>Grootveld</w:t>
      </w:r>
      <w:proofErr w:type="spellEnd"/>
      <w:r w:rsidR="00527C07" w:rsidRPr="00992EF8">
        <w:rPr>
          <w:rFonts w:asciiTheme="majorHAnsi" w:hAnsiTheme="majorHAnsi"/>
          <w:sz w:val="22"/>
          <w:szCs w:val="22"/>
        </w:rPr>
        <w:t>, 2011)</w:t>
      </w:r>
    </w:p>
    <w:p w14:paraId="402A4EC7" w14:textId="77777777" w:rsidR="00527C07" w:rsidRPr="00992EF8" w:rsidRDefault="00527C07" w:rsidP="00527C07">
      <w:pPr>
        <w:rPr>
          <w:rFonts w:asciiTheme="majorHAnsi" w:hAnsiTheme="majorHAnsi"/>
          <w:sz w:val="22"/>
          <w:szCs w:val="22"/>
        </w:rPr>
      </w:pPr>
    </w:p>
    <w:p w14:paraId="27B80C71" w14:textId="0D6A87AB" w:rsidR="00527C07" w:rsidRPr="00992EF8" w:rsidRDefault="00527C07" w:rsidP="00527C07">
      <w:pPr>
        <w:ind w:left="360"/>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62BB0B45" wp14:editId="62BE1BCD">
            <wp:extent cx="4914900" cy="2604553"/>
            <wp:effectExtent l="0" t="0" r="0" b="12065"/>
            <wp:docPr id="9" name="Picture 9" descr="Macintosh HD:Users:christopherhindle:Dropbox:Screenshots:Screenshot 2018-07-28 23.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rhindle:Dropbox:Screenshots:Screenshot 2018-07-28 23.54.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2604553"/>
                    </a:xfrm>
                    <a:prstGeom prst="rect">
                      <a:avLst/>
                    </a:prstGeom>
                    <a:noFill/>
                    <a:ln>
                      <a:noFill/>
                    </a:ln>
                  </pic:spPr>
                </pic:pic>
              </a:graphicData>
            </a:graphic>
          </wp:inline>
        </w:drawing>
      </w:r>
    </w:p>
    <w:p w14:paraId="168D24B4" w14:textId="77777777" w:rsidR="00527C07" w:rsidRPr="00992EF8" w:rsidRDefault="00527C07" w:rsidP="00527C07">
      <w:pPr>
        <w:ind w:left="360"/>
        <w:rPr>
          <w:rFonts w:asciiTheme="majorHAnsi" w:hAnsiTheme="majorHAnsi"/>
          <w:sz w:val="22"/>
          <w:szCs w:val="22"/>
        </w:rPr>
      </w:pPr>
    </w:p>
    <w:p w14:paraId="178F4290" w14:textId="6C134BF4" w:rsidR="00527C07" w:rsidRPr="00992EF8" w:rsidRDefault="00527C07" w:rsidP="00527C07">
      <w:pPr>
        <w:ind w:left="360"/>
        <w:rPr>
          <w:rFonts w:asciiTheme="majorHAnsi" w:hAnsiTheme="majorHAnsi"/>
          <w:sz w:val="22"/>
          <w:szCs w:val="22"/>
        </w:rPr>
      </w:pPr>
      <w:r w:rsidRPr="00992EF8">
        <w:rPr>
          <w:rFonts w:asciiTheme="majorHAnsi" w:hAnsiTheme="majorHAnsi"/>
          <w:sz w:val="22"/>
          <w:szCs w:val="22"/>
        </w:rPr>
        <w:t>We have therefore updated the projection rates to include these different types of asset classes. The projection rates used are:</w:t>
      </w:r>
    </w:p>
    <w:p w14:paraId="570A1D6A" w14:textId="77777777" w:rsidR="00527C07" w:rsidRPr="00992EF8" w:rsidRDefault="00527C07" w:rsidP="00527C07">
      <w:pPr>
        <w:ind w:left="360"/>
        <w:rPr>
          <w:rFonts w:asciiTheme="majorHAnsi" w:hAnsiTheme="majorHAnsi"/>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942"/>
        <w:gridCol w:w="3378"/>
      </w:tblGrid>
      <w:tr w:rsidR="00527C07" w:rsidRPr="00992EF8" w14:paraId="0ABB6DE2" w14:textId="77777777" w:rsidTr="00C72A9E">
        <w:trPr>
          <w:trHeight w:val="405"/>
        </w:trPr>
        <w:tc>
          <w:tcPr>
            <w:tcW w:w="2970" w:type="pct"/>
            <w:shd w:val="clear" w:color="auto" w:fill="C00000"/>
            <w:vAlign w:val="center"/>
          </w:tcPr>
          <w:p w14:paraId="2D97DBAE" w14:textId="77777777" w:rsidR="00527C07" w:rsidRPr="00992EF8" w:rsidRDefault="00527C07" w:rsidP="0047409F">
            <w:pPr>
              <w:pStyle w:val="TableParagraph"/>
              <w:rPr>
                <w:rFonts w:asciiTheme="majorHAnsi" w:hAnsiTheme="majorHAnsi" w:cstheme="minorHAnsi"/>
                <w:sz w:val="20"/>
                <w:szCs w:val="20"/>
              </w:rPr>
            </w:pPr>
          </w:p>
        </w:tc>
        <w:tc>
          <w:tcPr>
            <w:tcW w:w="2030" w:type="pct"/>
            <w:shd w:val="clear" w:color="auto" w:fill="C00000"/>
            <w:vAlign w:val="center"/>
          </w:tcPr>
          <w:p w14:paraId="35D36AF8" w14:textId="4C3D6B9C" w:rsidR="00527C07" w:rsidRPr="00992EF8" w:rsidRDefault="00527C07" w:rsidP="0047409F">
            <w:pPr>
              <w:pStyle w:val="TableParagraph"/>
              <w:spacing w:before="116" w:line="252" w:lineRule="auto"/>
              <w:ind w:right="209"/>
              <w:rPr>
                <w:rFonts w:asciiTheme="majorHAnsi" w:hAnsiTheme="majorHAnsi" w:cstheme="minorHAnsi"/>
                <w:b/>
                <w:sz w:val="20"/>
                <w:szCs w:val="20"/>
              </w:rPr>
            </w:pPr>
            <w:r w:rsidRPr="00992EF8">
              <w:rPr>
                <w:rFonts w:asciiTheme="majorHAnsi" w:hAnsiTheme="majorHAnsi" w:cstheme="minorHAnsi"/>
                <w:b/>
                <w:color w:val="FFFFFF"/>
                <w:w w:val="105"/>
                <w:sz w:val="20"/>
                <w:szCs w:val="20"/>
              </w:rPr>
              <w:t>Nominal Projection Rates</w:t>
            </w:r>
          </w:p>
        </w:tc>
      </w:tr>
      <w:tr w:rsidR="00527C07" w:rsidRPr="00992EF8" w14:paraId="01C6002F" w14:textId="77777777" w:rsidTr="00C72A9E">
        <w:trPr>
          <w:trHeight w:val="325"/>
        </w:trPr>
        <w:tc>
          <w:tcPr>
            <w:tcW w:w="2970" w:type="pct"/>
            <w:vAlign w:val="bottom"/>
          </w:tcPr>
          <w:p w14:paraId="53733D02" w14:textId="1D916A93"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Managed Liquidity</w:t>
            </w:r>
            <w:r w:rsidR="00E26467">
              <w:rPr>
                <w:rFonts w:asciiTheme="majorHAnsi" w:eastAsia="Times New Roman" w:hAnsiTheme="majorHAnsi" w:cs="Times New Roman"/>
                <w:color w:val="000000"/>
                <w:sz w:val="20"/>
                <w:szCs w:val="20"/>
              </w:rPr>
              <w:t xml:space="preserve"> (Cash)</w:t>
            </w:r>
          </w:p>
        </w:tc>
        <w:tc>
          <w:tcPr>
            <w:tcW w:w="2030" w:type="pct"/>
            <w:vAlign w:val="bottom"/>
          </w:tcPr>
          <w:p w14:paraId="06F861A1" w14:textId="355200BF"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1.50%</w:t>
            </w:r>
          </w:p>
        </w:tc>
      </w:tr>
      <w:tr w:rsidR="00527C07" w:rsidRPr="00992EF8" w14:paraId="491B7202" w14:textId="77777777" w:rsidTr="00C72A9E">
        <w:trPr>
          <w:trHeight w:val="325"/>
        </w:trPr>
        <w:tc>
          <w:tcPr>
            <w:tcW w:w="2970" w:type="pct"/>
            <w:vAlign w:val="bottom"/>
          </w:tcPr>
          <w:p w14:paraId="2401C260" w14:textId="05AA1856"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Fixed Interest</w:t>
            </w:r>
          </w:p>
        </w:tc>
        <w:tc>
          <w:tcPr>
            <w:tcW w:w="2030" w:type="pct"/>
            <w:vAlign w:val="bottom"/>
          </w:tcPr>
          <w:p w14:paraId="728A924C" w14:textId="2E52F6A3"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3.00%</w:t>
            </w:r>
          </w:p>
        </w:tc>
      </w:tr>
      <w:tr w:rsidR="00527C07" w:rsidRPr="00992EF8" w14:paraId="1AE8D5E9" w14:textId="77777777" w:rsidTr="00C72A9E">
        <w:trPr>
          <w:trHeight w:val="325"/>
        </w:trPr>
        <w:tc>
          <w:tcPr>
            <w:tcW w:w="2970" w:type="pct"/>
            <w:vAlign w:val="bottom"/>
          </w:tcPr>
          <w:p w14:paraId="3CF18F11" w14:textId="278BEB47"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Property</w:t>
            </w:r>
          </w:p>
        </w:tc>
        <w:tc>
          <w:tcPr>
            <w:tcW w:w="2030" w:type="pct"/>
            <w:vAlign w:val="bottom"/>
          </w:tcPr>
          <w:p w14:paraId="1A0A5EF0" w14:textId="1CE3CC8B"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6.00%</w:t>
            </w:r>
          </w:p>
        </w:tc>
      </w:tr>
      <w:tr w:rsidR="00527C07" w:rsidRPr="00992EF8" w14:paraId="1ABA0D31" w14:textId="77777777" w:rsidTr="00C72A9E">
        <w:trPr>
          <w:trHeight w:val="325"/>
        </w:trPr>
        <w:tc>
          <w:tcPr>
            <w:tcW w:w="2970" w:type="pct"/>
            <w:vAlign w:val="bottom"/>
          </w:tcPr>
          <w:p w14:paraId="71631260" w14:textId="049BAE32"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UK Value and Income Equity</w:t>
            </w:r>
          </w:p>
        </w:tc>
        <w:tc>
          <w:tcPr>
            <w:tcW w:w="2030" w:type="pct"/>
            <w:vAlign w:val="bottom"/>
          </w:tcPr>
          <w:p w14:paraId="00C4D8B3" w14:textId="524FFAC8"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6.25%</w:t>
            </w:r>
          </w:p>
        </w:tc>
      </w:tr>
      <w:tr w:rsidR="00527C07" w:rsidRPr="00992EF8" w14:paraId="510F4D29" w14:textId="77777777" w:rsidTr="00C72A9E">
        <w:trPr>
          <w:trHeight w:val="325"/>
        </w:trPr>
        <w:tc>
          <w:tcPr>
            <w:tcW w:w="2970" w:type="pct"/>
            <w:vAlign w:val="bottom"/>
          </w:tcPr>
          <w:p w14:paraId="70AB99CF" w14:textId="6154AA7D"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UK Growth</w:t>
            </w:r>
          </w:p>
        </w:tc>
        <w:tc>
          <w:tcPr>
            <w:tcW w:w="2030" w:type="pct"/>
            <w:vAlign w:val="bottom"/>
          </w:tcPr>
          <w:p w14:paraId="02389DED" w14:textId="081D6377"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6.25%</w:t>
            </w:r>
          </w:p>
        </w:tc>
      </w:tr>
      <w:tr w:rsidR="00527C07" w:rsidRPr="00992EF8" w14:paraId="4A70C7A0" w14:textId="77777777" w:rsidTr="00C72A9E">
        <w:trPr>
          <w:trHeight w:val="325"/>
        </w:trPr>
        <w:tc>
          <w:tcPr>
            <w:tcW w:w="2970" w:type="pct"/>
            <w:vAlign w:val="bottom"/>
          </w:tcPr>
          <w:p w14:paraId="209C70D6" w14:textId="6A7D8ED7"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Developed Markets Equity</w:t>
            </w:r>
          </w:p>
        </w:tc>
        <w:tc>
          <w:tcPr>
            <w:tcW w:w="2030" w:type="pct"/>
            <w:vAlign w:val="bottom"/>
          </w:tcPr>
          <w:p w14:paraId="2CA17E23" w14:textId="6DDDBA4D"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6.50%</w:t>
            </w:r>
          </w:p>
        </w:tc>
      </w:tr>
      <w:tr w:rsidR="00527C07" w:rsidRPr="00992EF8" w14:paraId="73924D18" w14:textId="77777777" w:rsidTr="00C72A9E">
        <w:trPr>
          <w:trHeight w:val="325"/>
        </w:trPr>
        <w:tc>
          <w:tcPr>
            <w:tcW w:w="2970" w:type="pct"/>
            <w:vAlign w:val="bottom"/>
          </w:tcPr>
          <w:p w14:paraId="1E12A654" w14:textId="6E4100E6"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Emerging Markets</w:t>
            </w:r>
          </w:p>
        </w:tc>
        <w:tc>
          <w:tcPr>
            <w:tcW w:w="2030" w:type="pct"/>
            <w:vAlign w:val="bottom"/>
          </w:tcPr>
          <w:p w14:paraId="4C83B3B7" w14:textId="4ECC6B2B"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8.00%</w:t>
            </w:r>
          </w:p>
        </w:tc>
      </w:tr>
      <w:tr w:rsidR="00527C07" w:rsidRPr="00992EF8" w14:paraId="2294AF70" w14:textId="77777777" w:rsidTr="00C72A9E">
        <w:trPr>
          <w:trHeight w:val="325"/>
        </w:trPr>
        <w:tc>
          <w:tcPr>
            <w:tcW w:w="2970" w:type="pct"/>
            <w:vAlign w:val="bottom"/>
          </w:tcPr>
          <w:p w14:paraId="6E98D330" w14:textId="6E54306E" w:rsidR="00527C07" w:rsidRPr="00992EF8" w:rsidRDefault="00527C07" w:rsidP="0047409F">
            <w:pPr>
              <w:pStyle w:val="TableParagraph"/>
              <w:spacing w:before="5" w:line="254" w:lineRule="auto"/>
              <w:ind w:left="110" w:right="229"/>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Small Cap &amp; Value</w:t>
            </w:r>
          </w:p>
        </w:tc>
        <w:tc>
          <w:tcPr>
            <w:tcW w:w="2030" w:type="pct"/>
            <w:vAlign w:val="bottom"/>
          </w:tcPr>
          <w:p w14:paraId="031DA020" w14:textId="6C701C5D" w:rsidR="00527C07" w:rsidRPr="00992EF8" w:rsidRDefault="00527C07" w:rsidP="0047409F">
            <w:pPr>
              <w:pStyle w:val="TableParagraph"/>
              <w:spacing w:before="5"/>
              <w:ind w:right="115"/>
              <w:rPr>
                <w:rFonts w:asciiTheme="majorHAnsi" w:hAnsiTheme="majorHAnsi" w:cstheme="minorHAnsi"/>
                <w:w w:val="105"/>
                <w:sz w:val="20"/>
                <w:szCs w:val="20"/>
              </w:rPr>
            </w:pPr>
            <w:r w:rsidRPr="00992EF8">
              <w:rPr>
                <w:rFonts w:asciiTheme="majorHAnsi" w:eastAsia="Times New Roman" w:hAnsiTheme="majorHAnsi" w:cs="Times New Roman"/>
                <w:color w:val="000000"/>
                <w:sz w:val="20"/>
                <w:szCs w:val="20"/>
              </w:rPr>
              <w:t>8.00%</w:t>
            </w:r>
          </w:p>
        </w:tc>
      </w:tr>
    </w:tbl>
    <w:p w14:paraId="3B55C175" w14:textId="77777777" w:rsidR="00527C07" w:rsidRPr="00992EF8" w:rsidRDefault="00527C07" w:rsidP="00527C07">
      <w:pPr>
        <w:rPr>
          <w:rFonts w:asciiTheme="majorHAnsi" w:hAnsiTheme="majorHAnsi"/>
          <w:sz w:val="22"/>
          <w:szCs w:val="22"/>
        </w:rPr>
      </w:pPr>
    </w:p>
    <w:p w14:paraId="7940BAEB" w14:textId="77777777" w:rsidR="00C72A9E" w:rsidRDefault="00C72A9E">
      <w:pPr>
        <w:rPr>
          <w:rFonts w:asciiTheme="majorHAnsi" w:hAnsiTheme="majorHAnsi"/>
          <w:sz w:val="22"/>
          <w:szCs w:val="22"/>
        </w:rPr>
        <w:sectPr w:rsidR="00C72A9E" w:rsidSect="002D7D81">
          <w:footerReference w:type="default" r:id="rId34"/>
          <w:pgSz w:w="11900" w:h="16840"/>
          <w:pgMar w:top="1191" w:right="1800" w:bottom="1191" w:left="1800" w:header="708" w:footer="708" w:gutter="0"/>
          <w:cols w:space="708"/>
          <w:titlePg/>
          <w:docGrid w:linePitch="360"/>
        </w:sectPr>
      </w:pPr>
    </w:p>
    <w:p w14:paraId="1A3A2FCC" w14:textId="77777777" w:rsidR="00C72A9E" w:rsidRDefault="00C72A9E" w:rsidP="00C72A9E">
      <w:pPr>
        <w:pStyle w:val="Heading2"/>
        <w:numPr>
          <w:ilvl w:val="0"/>
          <w:numId w:val="18"/>
        </w:numPr>
      </w:pPr>
      <w:bookmarkStart w:id="8" w:name="_Toc394484442"/>
      <w:r>
        <w:lastRenderedPageBreak/>
        <w:t>Portfolio Return Projections</w:t>
      </w:r>
      <w:bookmarkEnd w:id="8"/>
    </w:p>
    <w:p w14:paraId="45486D57" w14:textId="77777777" w:rsidR="00C72A9E" w:rsidRDefault="00C72A9E" w:rsidP="00C72A9E">
      <w:pPr>
        <w:rPr>
          <w:rFonts w:asciiTheme="majorHAnsi" w:hAnsiTheme="majorHAnsi"/>
          <w:sz w:val="22"/>
          <w:szCs w:val="22"/>
        </w:rPr>
      </w:pPr>
    </w:p>
    <w:p w14:paraId="06978058" w14:textId="77777777" w:rsidR="00C72A9E" w:rsidRDefault="00C72A9E" w:rsidP="00C72A9E">
      <w:pPr>
        <w:rPr>
          <w:rFonts w:asciiTheme="majorHAnsi" w:hAnsiTheme="majorHAnsi"/>
          <w:sz w:val="22"/>
          <w:szCs w:val="22"/>
        </w:rPr>
      </w:pPr>
      <w:r>
        <w:rPr>
          <w:rFonts w:asciiTheme="majorHAnsi" w:hAnsiTheme="majorHAnsi"/>
          <w:sz w:val="22"/>
          <w:szCs w:val="22"/>
        </w:rPr>
        <w:t>Using the asset class return assumptions, the below table projects the rate of return on different risk-rated portfolios:</w:t>
      </w:r>
    </w:p>
    <w:p w14:paraId="7D236C5C" w14:textId="77777777" w:rsidR="00C72A9E" w:rsidRDefault="00C72A9E" w:rsidP="00C72A9E"/>
    <w:tbl>
      <w:tblPr>
        <w:tblW w:w="5000" w:type="pct"/>
        <w:tblLook w:val="04A0" w:firstRow="1" w:lastRow="0" w:firstColumn="1" w:lastColumn="0" w:noHBand="0" w:noVBand="1"/>
      </w:tblPr>
      <w:tblGrid>
        <w:gridCol w:w="3520"/>
        <w:gridCol w:w="1116"/>
        <w:gridCol w:w="1116"/>
        <w:gridCol w:w="1116"/>
        <w:gridCol w:w="1116"/>
        <w:gridCol w:w="1115"/>
        <w:gridCol w:w="1115"/>
        <w:gridCol w:w="1115"/>
        <w:gridCol w:w="1115"/>
        <w:gridCol w:w="1115"/>
        <w:gridCol w:w="1115"/>
      </w:tblGrid>
      <w:tr w:rsidR="00C72A9E" w:rsidRPr="00A37AE9" w14:paraId="51500945" w14:textId="77777777" w:rsidTr="007008A8">
        <w:trPr>
          <w:trHeight w:val="300"/>
        </w:trPr>
        <w:tc>
          <w:tcPr>
            <w:tcW w:w="1199" w:type="pct"/>
            <w:tcBorders>
              <w:top w:val="single" w:sz="12" w:space="0" w:color="FFFFFF" w:themeColor="background1"/>
              <w:left w:val="single" w:sz="12" w:space="0" w:color="FFFFFF" w:themeColor="background1"/>
              <w:bottom w:val="single" w:sz="8" w:space="0" w:color="EBE8E7"/>
              <w:right w:val="nil"/>
            </w:tcBorders>
            <w:shd w:val="clear" w:color="000000" w:fill="F2F2F2"/>
            <w:vAlign w:val="center"/>
            <w:hideMark/>
          </w:tcPr>
          <w:p w14:paraId="5300EEB2" w14:textId="77777777" w:rsidR="00C72A9E" w:rsidRPr="00A37AE9" w:rsidRDefault="00C72A9E" w:rsidP="007008A8">
            <w:pPr>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Name</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65D20472"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1</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450164D4"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2</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6185E391"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3</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6878279C"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4</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64948820"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5</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31372884"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6</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2C1A1138"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7</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7F134CD5"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8</w:t>
            </w:r>
          </w:p>
        </w:tc>
        <w:tc>
          <w:tcPr>
            <w:tcW w:w="380" w:type="pct"/>
            <w:tcBorders>
              <w:top w:val="single" w:sz="12" w:space="0" w:color="FFFFFF" w:themeColor="background1"/>
              <w:left w:val="nil"/>
              <w:bottom w:val="single" w:sz="8" w:space="0" w:color="EBE8E7"/>
              <w:right w:val="nil"/>
            </w:tcBorders>
            <w:shd w:val="clear" w:color="000000" w:fill="F2F2F2"/>
            <w:vAlign w:val="center"/>
            <w:hideMark/>
          </w:tcPr>
          <w:p w14:paraId="22779020"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9</w:t>
            </w:r>
          </w:p>
        </w:tc>
        <w:tc>
          <w:tcPr>
            <w:tcW w:w="380" w:type="pct"/>
            <w:tcBorders>
              <w:top w:val="single" w:sz="12" w:space="0" w:color="FFFFFF" w:themeColor="background1"/>
              <w:left w:val="nil"/>
              <w:bottom w:val="single" w:sz="8" w:space="0" w:color="EBE8E7"/>
              <w:right w:val="single" w:sz="12" w:space="0" w:color="FFFFFF" w:themeColor="background1"/>
            </w:tcBorders>
            <w:shd w:val="clear" w:color="000000" w:fill="F2F2F2"/>
            <w:vAlign w:val="center"/>
            <w:hideMark/>
          </w:tcPr>
          <w:p w14:paraId="5FE0E222" w14:textId="77777777" w:rsidR="00C72A9E" w:rsidRPr="00A37AE9" w:rsidRDefault="00C72A9E" w:rsidP="007008A8">
            <w:pPr>
              <w:jc w:val="right"/>
              <w:rPr>
                <w:rFonts w:ascii="Calibri" w:eastAsia="Times New Roman" w:hAnsi="Calibri" w:cs="Times New Roman"/>
                <w:b/>
                <w:color w:val="000000"/>
                <w:sz w:val="20"/>
                <w:szCs w:val="20"/>
              </w:rPr>
            </w:pPr>
            <w:r w:rsidRPr="00A37AE9">
              <w:rPr>
                <w:rFonts w:ascii="Calibri" w:eastAsia="Times New Roman" w:hAnsi="Calibri" w:cs="Times New Roman"/>
                <w:b/>
                <w:color w:val="000000"/>
                <w:sz w:val="20"/>
                <w:szCs w:val="20"/>
              </w:rPr>
              <w:t>Risk 10</w:t>
            </w:r>
          </w:p>
        </w:tc>
      </w:tr>
      <w:tr w:rsidR="00C72A9E" w:rsidRPr="00A37AE9" w14:paraId="34440DD0"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06806A85"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Managed Liquidity</w:t>
            </w:r>
          </w:p>
        </w:tc>
        <w:tc>
          <w:tcPr>
            <w:tcW w:w="380" w:type="pct"/>
            <w:tcBorders>
              <w:top w:val="nil"/>
              <w:left w:val="nil"/>
              <w:bottom w:val="single" w:sz="8" w:space="0" w:color="EBE8E7"/>
              <w:right w:val="nil"/>
            </w:tcBorders>
            <w:shd w:val="clear" w:color="auto" w:fill="auto"/>
            <w:vAlign w:val="center"/>
            <w:hideMark/>
          </w:tcPr>
          <w:p w14:paraId="07832A9D"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100%</w:t>
            </w:r>
          </w:p>
        </w:tc>
        <w:tc>
          <w:tcPr>
            <w:tcW w:w="380" w:type="pct"/>
            <w:tcBorders>
              <w:top w:val="nil"/>
              <w:left w:val="nil"/>
              <w:bottom w:val="single" w:sz="8" w:space="0" w:color="EBE8E7"/>
              <w:right w:val="nil"/>
            </w:tcBorders>
            <w:shd w:val="clear" w:color="auto" w:fill="auto"/>
            <w:vAlign w:val="center"/>
            <w:hideMark/>
          </w:tcPr>
          <w:p w14:paraId="4E0688A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45%</w:t>
            </w:r>
          </w:p>
        </w:tc>
        <w:tc>
          <w:tcPr>
            <w:tcW w:w="380" w:type="pct"/>
            <w:tcBorders>
              <w:top w:val="nil"/>
              <w:left w:val="nil"/>
              <w:bottom w:val="single" w:sz="8" w:space="0" w:color="EBE8E7"/>
              <w:right w:val="nil"/>
            </w:tcBorders>
            <w:shd w:val="clear" w:color="auto" w:fill="auto"/>
            <w:vAlign w:val="center"/>
            <w:hideMark/>
          </w:tcPr>
          <w:p w14:paraId="6BB52A4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25%</w:t>
            </w:r>
          </w:p>
        </w:tc>
        <w:tc>
          <w:tcPr>
            <w:tcW w:w="380" w:type="pct"/>
            <w:tcBorders>
              <w:top w:val="nil"/>
              <w:left w:val="nil"/>
              <w:bottom w:val="single" w:sz="8" w:space="0" w:color="EBE8E7"/>
              <w:right w:val="nil"/>
            </w:tcBorders>
            <w:shd w:val="clear" w:color="auto" w:fill="auto"/>
            <w:vAlign w:val="center"/>
            <w:hideMark/>
          </w:tcPr>
          <w:p w14:paraId="2025090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47D7C31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3B63D44C"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7FD42F03"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0A1C8A4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03F1161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52E848F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r>
      <w:tr w:rsidR="00C72A9E" w:rsidRPr="00A37AE9" w14:paraId="1E87ABF3"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31D2B57C"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Fixed Interest</w:t>
            </w:r>
          </w:p>
        </w:tc>
        <w:tc>
          <w:tcPr>
            <w:tcW w:w="380" w:type="pct"/>
            <w:tcBorders>
              <w:top w:val="nil"/>
              <w:left w:val="nil"/>
              <w:bottom w:val="single" w:sz="8" w:space="0" w:color="EBE8E7"/>
              <w:right w:val="nil"/>
            </w:tcBorders>
            <w:shd w:val="clear" w:color="auto" w:fill="auto"/>
            <w:vAlign w:val="center"/>
            <w:hideMark/>
          </w:tcPr>
          <w:p w14:paraId="7B89367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59FBDDC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40%</w:t>
            </w:r>
          </w:p>
        </w:tc>
        <w:tc>
          <w:tcPr>
            <w:tcW w:w="380" w:type="pct"/>
            <w:tcBorders>
              <w:top w:val="nil"/>
              <w:left w:val="nil"/>
              <w:bottom w:val="single" w:sz="8" w:space="0" w:color="EBE8E7"/>
              <w:right w:val="nil"/>
            </w:tcBorders>
            <w:shd w:val="clear" w:color="auto" w:fill="auto"/>
            <w:vAlign w:val="center"/>
            <w:hideMark/>
          </w:tcPr>
          <w:p w14:paraId="2E7723A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45%</w:t>
            </w:r>
          </w:p>
        </w:tc>
        <w:tc>
          <w:tcPr>
            <w:tcW w:w="380" w:type="pct"/>
            <w:tcBorders>
              <w:top w:val="nil"/>
              <w:left w:val="nil"/>
              <w:bottom w:val="single" w:sz="8" w:space="0" w:color="EBE8E7"/>
              <w:right w:val="nil"/>
            </w:tcBorders>
            <w:shd w:val="clear" w:color="auto" w:fill="auto"/>
            <w:vAlign w:val="center"/>
            <w:hideMark/>
          </w:tcPr>
          <w:p w14:paraId="2B9ED49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50%</w:t>
            </w:r>
          </w:p>
        </w:tc>
        <w:tc>
          <w:tcPr>
            <w:tcW w:w="380" w:type="pct"/>
            <w:tcBorders>
              <w:top w:val="nil"/>
              <w:left w:val="nil"/>
              <w:bottom w:val="single" w:sz="8" w:space="0" w:color="EBE8E7"/>
              <w:right w:val="nil"/>
            </w:tcBorders>
            <w:shd w:val="clear" w:color="auto" w:fill="auto"/>
            <w:vAlign w:val="center"/>
            <w:hideMark/>
          </w:tcPr>
          <w:p w14:paraId="074F984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50%</w:t>
            </w:r>
          </w:p>
        </w:tc>
        <w:tc>
          <w:tcPr>
            <w:tcW w:w="380" w:type="pct"/>
            <w:tcBorders>
              <w:top w:val="nil"/>
              <w:left w:val="nil"/>
              <w:bottom w:val="single" w:sz="8" w:space="0" w:color="EBE8E7"/>
              <w:right w:val="nil"/>
            </w:tcBorders>
            <w:shd w:val="clear" w:color="auto" w:fill="auto"/>
            <w:vAlign w:val="center"/>
            <w:hideMark/>
          </w:tcPr>
          <w:p w14:paraId="13919E5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45%</w:t>
            </w:r>
          </w:p>
        </w:tc>
        <w:tc>
          <w:tcPr>
            <w:tcW w:w="380" w:type="pct"/>
            <w:tcBorders>
              <w:top w:val="nil"/>
              <w:left w:val="nil"/>
              <w:bottom w:val="single" w:sz="8" w:space="0" w:color="EBE8E7"/>
              <w:right w:val="nil"/>
            </w:tcBorders>
            <w:shd w:val="clear" w:color="auto" w:fill="auto"/>
            <w:vAlign w:val="center"/>
            <w:hideMark/>
          </w:tcPr>
          <w:p w14:paraId="5473E1B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35%</w:t>
            </w:r>
          </w:p>
        </w:tc>
        <w:tc>
          <w:tcPr>
            <w:tcW w:w="380" w:type="pct"/>
            <w:tcBorders>
              <w:top w:val="nil"/>
              <w:left w:val="nil"/>
              <w:bottom w:val="single" w:sz="8" w:space="0" w:color="EBE8E7"/>
              <w:right w:val="nil"/>
            </w:tcBorders>
            <w:shd w:val="clear" w:color="auto" w:fill="auto"/>
            <w:vAlign w:val="center"/>
            <w:hideMark/>
          </w:tcPr>
          <w:p w14:paraId="7CA81F1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25%</w:t>
            </w:r>
          </w:p>
        </w:tc>
        <w:tc>
          <w:tcPr>
            <w:tcW w:w="380" w:type="pct"/>
            <w:tcBorders>
              <w:top w:val="nil"/>
              <w:left w:val="nil"/>
              <w:bottom w:val="single" w:sz="8" w:space="0" w:color="EBE8E7"/>
              <w:right w:val="nil"/>
            </w:tcBorders>
            <w:shd w:val="clear" w:color="auto" w:fill="auto"/>
            <w:vAlign w:val="center"/>
            <w:hideMark/>
          </w:tcPr>
          <w:p w14:paraId="58BCE8B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20%</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6238224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r>
      <w:tr w:rsidR="00C72A9E" w:rsidRPr="00A37AE9" w14:paraId="0FAF1651"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55DC5EEB"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Property</w:t>
            </w:r>
          </w:p>
        </w:tc>
        <w:tc>
          <w:tcPr>
            <w:tcW w:w="380" w:type="pct"/>
            <w:tcBorders>
              <w:top w:val="nil"/>
              <w:left w:val="nil"/>
              <w:bottom w:val="single" w:sz="8" w:space="0" w:color="EBE8E7"/>
              <w:right w:val="nil"/>
            </w:tcBorders>
            <w:shd w:val="clear" w:color="auto" w:fill="auto"/>
            <w:vAlign w:val="center"/>
            <w:hideMark/>
          </w:tcPr>
          <w:p w14:paraId="02324ED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5F065B8D"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11F30FD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34B34688"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5CA5955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575E09F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4DB0EB6C"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17446BE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36EC0BF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18946338"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r>
      <w:tr w:rsidR="00C72A9E" w:rsidRPr="00A37AE9" w14:paraId="3DC61CCE"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4AF7D307"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Global Equity</w:t>
            </w:r>
          </w:p>
        </w:tc>
        <w:tc>
          <w:tcPr>
            <w:tcW w:w="380" w:type="pct"/>
            <w:tcBorders>
              <w:top w:val="nil"/>
              <w:left w:val="nil"/>
              <w:bottom w:val="single" w:sz="8" w:space="0" w:color="EBE8E7"/>
              <w:right w:val="nil"/>
            </w:tcBorders>
            <w:shd w:val="clear" w:color="auto" w:fill="auto"/>
            <w:vAlign w:val="center"/>
            <w:hideMark/>
          </w:tcPr>
          <w:p w14:paraId="206796D3"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4111E9F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w:t>
            </w:r>
          </w:p>
        </w:tc>
        <w:tc>
          <w:tcPr>
            <w:tcW w:w="380" w:type="pct"/>
            <w:tcBorders>
              <w:top w:val="nil"/>
              <w:left w:val="nil"/>
              <w:bottom w:val="single" w:sz="8" w:space="0" w:color="EBE8E7"/>
              <w:right w:val="nil"/>
            </w:tcBorders>
            <w:shd w:val="clear" w:color="auto" w:fill="auto"/>
            <w:vAlign w:val="center"/>
            <w:hideMark/>
          </w:tcPr>
          <w:p w14:paraId="674A070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6%</w:t>
            </w:r>
          </w:p>
        </w:tc>
        <w:tc>
          <w:tcPr>
            <w:tcW w:w="380" w:type="pct"/>
            <w:tcBorders>
              <w:top w:val="nil"/>
              <w:left w:val="nil"/>
              <w:bottom w:val="single" w:sz="8" w:space="0" w:color="EBE8E7"/>
              <w:right w:val="nil"/>
            </w:tcBorders>
            <w:shd w:val="clear" w:color="auto" w:fill="auto"/>
            <w:vAlign w:val="center"/>
            <w:hideMark/>
          </w:tcPr>
          <w:p w14:paraId="1DFD081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0F2B2A3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12%</w:t>
            </w:r>
          </w:p>
        </w:tc>
        <w:tc>
          <w:tcPr>
            <w:tcW w:w="380" w:type="pct"/>
            <w:tcBorders>
              <w:top w:val="nil"/>
              <w:left w:val="nil"/>
              <w:bottom w:val="single" w:sz="8" w:space="0" w:color="EBE8E7"/>
              <w:right w:val="nil"/>
            </w:tcBorders>
            <w:shd w:val="clear" w:color="auto" w:fill="auto"/>
            <w:vAlign w:val="center"/>
            <w:hideMark/>
          </w:tcPr>
          <w:p w14:paraId="05FEBEF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14%</w:t>
            </w:r>
          </w:p>
        </w:tc>
        <w:tc>
          <w:tcPr>
            <w:tcW w:w="380" w:type="pct"/>
            <w:tcBorders>
              <w:top w:val="nil"/>
              <w:left w:val="nil"/>
              <w:bottom w:val="single" w:sz="8" w:space="0" w:color="EBE8E7"/>
              <w:right w:val="nil"/>
            </w:tcBorders>
            <w:shd w:val="clear" w:color="auto" w:fill="auto"/>
            <w:vAlign w:val="center"/>
            <w:hideMark/>
          </w:tcPr>
          <w:p w14:paraId="18F00A48"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16%</w:t>
            </w:r>
          </w:p>
        </w:tc>
        <w:tc>
          <w:tcPr>
            <w:tcW w:w="380" w:type="pct"/>
            <w:tcBorders>
              <w:top w:val="nil"/>
              <w:left w:val="nil"/>
              <w:bottom w:val="single" w:sz="8" w:space="0" w:color="EBE8E7"/>
              <w:right w:val="nil"/>
            </w:tcBorders>
            <w:shd w:val="clear" w:color="auto" w:fill="auto"/>
            <w:vAlign w:val="center"/>
            <w:hideMark/>
          </w:tcPr>
          <w:p w14:paraId="4BC720C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18%</w:t>
            </w:r>
          </w:p>
        </w:tc>
        <w:tc>
          <w:tcPr>
            <w:tcW w:w="380" w:type="pct"/>
            <w:tcBorders>
              <w:top w:val="nil"/>
              <w:left w:val="nil"/>
              <w:bottom w:val="single" w:sz="8" w:space="0" w:color="EBE8E7"/>
              <w:right w:val="nil"/>
            </w:tcBorders>
            <w:shd w:val="clear" w:color="auto" w:fill="auto"/>
            <w:vAlign w:val="center"/>
            <w:hideMark/>
          </w:tcPr>
          <w:p w14:paraId="3140799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20%</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1185316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22%</w:t>
            </w:r>
          </w:p>
        </w:tc>
      </w:tr>
      <w:tr w:rsidR="00C72A9E" w:rsidRPr="00A37AE9" w14:paraId="49A81BE4"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744BEE7D"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Global Equity Small Cap &amp; Value</w:t>
            </w:r>
          </w:p>
        </w:tc>
        <w:tc>
          <w:tcPr>
            <w:tcW w:w="380" w:type="pct"/>
            <w:tcBorders>
              <w:top w:val="nil"/>
              <w:left w:val="nil"/>
              <w:bottom w:val="single" w:sz="8" w:space="0" w:color="EBE8E7"/>
              <w:right w:val="nil"/>
            </w:tcBorders>
            <w:shd w:val="clear" w:color="auto" w:fill="auto"/>
            <w:vAlign w:val="center"/>
            <w:hideMark/>
          </w:tcPr>
          <w:p w14:paraId="2009219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195A017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6%</w:t>
            </w:r>
          </w:p>
        </w:tc>
        <w:tc>
          <w:tcPr>
            <w:tcW w:w="380" w:type="pct"/>
            <w:tcBorders>
              <w:top w:val="nil"/>
              <w:left w:val="nil"/>
              <w:bottom w:val="single" w:sz="8" w:space="0" w:color="EBE8E7"/>
              <w:right w:val="nil"/>
            </w:tcBorders>
            <w:shd w:val="clear" w:color="auto" w:fill="auto"/>
            <w:vAlign w:val="center"/>
            <w:hideMark/>
          </w:tcPr>
          <w:p w14:paraId="2CF6C56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9%</w:t>
            </w:r>
          </w:p>
        </w:tc>
        <w:tc>
          <w:tcPr>
            <w:tcW w:w="380" w:type="pct"/>
            <w:tcBorders>
              <w:top w:val="nil"/>
              <w:left w:val="nil"/>
              <w:bottom w:val="single" w:sz="8" w:space="0" w:color="EBE8E7"/>
              <w:right w:val="nil"/>
            </w:tcBorders>
            <w:shd w:val="clear" w:color="auto" w:fill="auto"/>
            <w:vAlign w:val="center"/>
            <w:hideMark/>
          </w:tcPr>
          <w:p w14:paraId="12003A2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15%</w:t>
            </w:r>
          </w:p>
        </w:tc>
        <w:tc>
          <w:tcPr>
            <w:tcW w:w="380" w:type="pct"/>
            <w:tcBorders>
              <w:top w:val="nil"/>
              <w:left w:val="nil"/>
              <w:bottom w:val="single" w:sz="8" w:space="0" w:color="EBE8E7"/>
              <w:right w:val="nil"/>
            </w:tcBorders>
            <w:shd w:val="clear" w:color="auto" w:fill="auto"/>
            <w:vAlign w:val="center"/>
            <w:hideMark/>
          </w:tcPr>
          <w:p w14:paraId="2DC4421D"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18%</w:t>
            </w:r>
          </w:p>
        </w:tc>
        <w:tc>
          <w:tcPr>
            <w:tcW w:w="380" w:type="pct"/>
            <w:tcBorders>
              <w:top w:val="nil"/>
              <w:left w:val="nil"/>
              <w:bottom w:val="single" w:sz="8" w:space="0" w:color="EBE8E7"/>
              <w:right w:val="nil"/>
            </w:tcBorders>
            <w:shd w:val="clear" w:color="auto" w:fill="auto"/>
            <w:vAlign w:val="center"/>
            <w:hideMark/>
          </w:tcPr>
          <w:p w14:paraId="5D2918B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21%</w:t>
            </w:r>
          </w:p>
        </w:tc>
        <w:tc>
          <w:tcPr>
            <w:tcW w:w="380" w:type="pct"/>
            <w:tcBorders>
              <w:top w:val="nil"/>
              <w:left w:val="nil"/>
              <w:bottom w:val="single" w:sz="8" w:space="0" w:color="EBE8E7"/>
              <w:right w:val="nil"/>
            </w:tcBorders>
            <w:shd w:val="clear" w:color="auto" w:fill="auto"/>
            <w:vAlign w:val="center"/>
            <w:hideMark/>
          </w:tcPr>
          <w:p w14:paraId="0CA7126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24%</w:t>
            </w:r>
          </w:p>
        </w:tc>
        <w:tc>
          <w:tcPr>
            <w:tcW w:w="380" w:type="pct"/>
            <w:tcBorders>
              <w:top w:val="nil"/>
              <w:left w:val="nil"/>
              <w:bottom w:val="single" w:sz="8" w:space="0" w:color="EBE8E7"/>
              <w:right w:val="nil"/>
            </w:tcBorders>
            <w:shd w:val="clear" w:color="auto" w:fill="auto"/>
            <w:vAlign w:val="center"/>
            <w:hideMark/>
          </w:tcPr>
          <w:p w14:paraId="007AE4E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27%</w:t>
            </w:r>
          </w:p>
        </w:tc>
        <w:tc>
          <w:tcPr>
            <w:tcW w:w="380" w:type="pct"/>
            <w:tcBorders>
              <w:top w:val="nil"/>
              <w:left w:val="nil"/>
              <w:bottom w:val="single" w:sz="8" w:space="0" w:color="EBE8E7"/>
              <w:right w:val="nil"/>
            </w:tcBorders>
            <w:shd w:val="clear" w:color="auto" w:fill="auto"/>
            <w:vAlign w:val="center"/>
            <w:hideMark/>
          </w:tcPr>
          <w:p w14:paraId="05AC045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30%</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332FBE6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33%</w:t>
            </w:r>
          </w:p>
        </w:tc>
      </w:tr>
      <w:tr w:rsidR="00C72A9E" w:rsidRPr="00A37AE9" w14:paraId="660190BE" w14:textId="77777777" w:rsidTr="007008A8">
        <w:trPr>
          <w:trHeight w:val="300"/>
        </w:trPr>
        <w:tc>
          <w:tcPr>
            <w:tcW w:w="1199" w:type="pct"/>
            <w:tcBorders>
              <w:top w:val="nil"/>
              <w:left w:val="single" w:sz="12" w:space="0" w:color="FFFFFF" w:themeColor="background1"/>
              <w:bottom w:val="single" w:sz="8" w:space="0" w:color="EBE8E7"/>
              <w:right w:val="nil"/>
            </w:tcBorders>
            <w:shd w:val="clear" w:color="auto" w:fill="auto"/>
            <w:vAlign w:val="center"/>
            <w:hideMark/>
          </w:tcPr>
          <w:p w14:paraId="5142C34B"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Emerging Markets Equity</w:t>
            </w:r>
          </w:p>
        </w:tc>
        <w:tc>
          <w:tcPr>
            <w:tcW w:w="380" w:type="pct"/>
            <w:tcBorders>
              <w:top w:val="nil"/>
              <w:left w:val="nil"/>
              <w:bottom w:val="single" w:sz="8" w:space="0" w:color="EBE8E7"/>
              <w:right w:val="nil"/>
            </w:tcBorders>
            <w:shd w:val="clear" w:color="auto" w:fill="auto"/>
            <w:vAlign w:val="center"/>
            <w:hideMark/>
          </w:tcPr>
          <w:p w14:paraId="094B051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1E0F0BF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424AB69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w:t>
            </w:r>
          </w:p>
        </w:tc>
        <w:tc>
          <w:tcPr>
            <w:tcW w:w="380" w:type="pct"/>
            <w:tcBorders>
              <w:top w:val="nil"/>
              <w:left w:val="nil"/>
              <w:bottom w:val="single" w:sz="8" w:space="0" w:color="EBE8E7"/>
              <w:right w:val="nil"/>
            </w:tcBorders>
            <w:shd w:val="clear" w:color="auto" w:fill="auto"/>
            <w:vAlign w:val="center"/>
            <w:hideMark/>
          </w:tcPr>
          <w:p w14:paraId="474B404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w:t>
            </w:r>
          </w:p>
        </w:tc>
        <w:tc>
          <w:tcPr>
            <w:tcW w:w="380" w:type="pct"/>
            <w:tcBorders>
              <w:top w:val="nil"/>
              <w:left w:val="nil"/>
              <w:bottom w:val="single" w:sz="8" w:space="0" w:color="EBE8E7"/>
              <w:right w:val="nil"/>
            </w:tcBorders>
            <w:shd w:val="clear" w:color="auto" w:fill="auto"/>
            <w:vAlign w:val="center"/>
            <w:hideMark/>
          </w:tcPr>
          <w:p w14:paraId="2CEDCEF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3A28C3A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8%</w:t>
            </w:r>
          </w:p>
        </w:tc>
        <w:tc>
          <w:tcPr>
            <w:tcW w:w="380" w:type="pct"/>
            <w:tcBorders>
              <w:top w:val="nil"/>
              <w:left w:val="nil"/>
              <w:bottom w:val="single" w:sz="8" w:space="0" w:color="EBE8E7"/>
              <w:right w:val="nil"/>
            </w:tcBorders>
            <w:shd w:val="clear" w:color="auto" w:fill="auto"/>
            <w:vAlign w:val="center"/>
            <w:hideMark/>
          </w:tcPr>
          <w:p w14:paraId="48E697D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515ADE9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13%</w:t>
            </w:r>
          </w:p>
        </w:tc>
        <w:tc>
          <w:tcPr>
            <w:tcW w:w="380" w:type="pct"/>
            <w:tcBorders>
              <w:top w:val="nil"/>
              <w:left w:val="nil"/>
              <w:bottom w:val="single" w:sz="8" w:space="0" w:color="EBE8E7"/>
              <w:right w:val="nil"/>
            </w:tcBorders>
            <w:shd w:val="clear" w:color="auto" w:fill="auto"/>
            <w:vAlign w:val="center"/>
            <w:hideMark/>
          </w:tcPr>
          <w:p w14:paraId="261AA43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15%</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6719DB5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18%</w:t>
            </w:r>
          </w:p>
        </w:tc>
      </w:tr>
      <w:tr w:rsidR="00C72A9E" w:rsidRPr="00A37AE9" w14:paraId="0B226DE6" w14:textId="77777777" w:rsidTr="007008A8">
        <w:trPr>
          <w:trHeight w:val="300"/>
        </w:trPr>
        <w:tc>
          <w:tcPr>
            <w:tcW w:w="1199" w:type="pct"/>
            <w:tcBorders>
              <w:top w:val="nil"/>
              <w:left w:val="single" w:sz="12" w:space="0" w:color="FFFFFF" w:themeColor="background1"/>
              <w:bottom w:val="nil"/>
              <w:right w:val="nil"/>
            </w:tcBorders>
            <w:shd w:val="clear" w:color="auto" w:fill="auto"/>
            <w:vAlign w:val="center"/>
            <w:hideMark/>
          </w:tcPr>
          <w:p w14:paraId="651AC2EE"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Emerging Markets Small Cap &amp; Value Equity</w:t>
            </w:r>
          </w:p>
        </w:tc>
        <w:tc>
          <w:tcPr>
            <w:tcW w:w="380" w:type="pct"/>
            <w:tcBorders>
              <w:top w:val="nil"/>
              <w:left w:val="nil"/>
              <w:bottom w:val="single" w:sz="8" w:space="0" w:color="EBE8E7"/>
              <w:right w:val="nil"/>
            </w:tcBorders>
            <w:shd w:val="clear" w:color="auto" w:fill="auto"/>
            <w:vAlign w:val="center"/>
            <w:hideMark/>
          </w:tcPr>
          <w:p w14:paraId="4EB5129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13979E9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w:t>
            </w:r>
          </w:p>
        </w:tc>
        <w:tc>
          <w:tcPr>
            <w:tcW w:w="380" w:type="pct"/>
            <w:tcBorders>
              <w:top w:val="nil"/>
              <w:left w:val="nil"/>
              <w:bottom w:val="single" w:sz="8" w:space="0" w:color="EBE8E7"/>
              <w:right w:val="nil"/>
            </w:tcBorders>
            <w:shd w:val="clear" w:color="auto" w:fill="auto"/>
            <w:vAlign w:val="center"/>
            <w:hideMark/>
          </w:tcPr>
          <w:p w14:paraId="3AAC28B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w:t>
            </w:r>
          </w:p>
        </w:tc>
        <w:tc>
          <w:tcPr>
            <w:tcW w:w="380" w:type="pct"/>
            <w:tcBorders>
              <w:top w:val="nil"/>
              <w:left w:val="nil"/>
              <w:bottom w:val="single" w:sz="8" w:space="0" w:color="EBE8E7"/>
              <w:right w:val="nil"/>
            </w:tcBorders>
            <w:shd w:val="clear" w:color="auto" w:fill="auto"/>
            <w:vAlign w:val="center"/>
            <w:hideMark/>
          </w:tcPr>
          <w:p w14:paraId="79A2420D"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w:t>
            </w:r>
          </w:p>
        </w:tc>
        <w:tc>
          <w:tcPr>
            <w:tcW w:w="380" w:type="pct"/>
            <w:tcBorders>
              <w:top w:val="nil"/>
              <w:left w:val="nil"/>
              <w:bottom w:val="single" w:sz="8" w:space="0" w:color="EBE8E7"/>
              <w:right w:val="nil"/>
            </w:tcBorders>
            <w:shd w:val="clear" w:color="auto" w:fill="auto"/>
            <w:vAlign w:val="center"/>
            <w:hideMark/>
          </w:tcPr>
          <w:p w14:paraId="60CCE38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w:t>
            </w:r>
          </w:p>
        </w:tc>
        <w:tc>
          <w:tcPr>
            <w:tcW w:w="380" w:type="pct"/>
            <w:tcBorders>
              <w:top w:val="nil"/>
              <w:left w:val="nil"/>
              <w:bottom w:val="single" w:sz="8" w:space="0" w:color="EBE8E7"/>
              <w:right w:val="nil"/>
            </w:tcBorders>
            <w:shd w:val="clear" w:color="auto" w:fill="auto"/>
            <w:vAlign w:val="center"/>
            <w:hideMark/>
          </w:tcPr>
          <w:p w14:paraId="2F42C21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7%</w:t>
            </w:r>
          </w:p>
        </w:tc>
        <w:tc>
          <w:tcPr>
            <w:tcW w:w="380" w:type="pct"/>
            <w:tcBorders>
              <w:top w:val="nil"/>
              <w:left w:val="nil"/>
              <w:bottom w:val="single" w:sz="8" w:space="0" w:color="EBE8E7"/>
              <w:right w:val="nil"/>
            </w:tcBorders>
            <w:shd w:val="clear" w:color="auto" w:fill="auto"/>
            <w:vAlign w:val="center"/>
            <w:hideMark/>
          </w:tcPr>
          <w:p w14:paraId="2F1C975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10%</w:t>
            </w:r>
          </w:p>
        </w:tc>
        <w:tc>
          <w:tcPr>
            <w:tcW w:w="380" w:type="pct"/>
            <w:tcBorders>
              <w:top w:val="nil"/>
              <w:left w:val="nil"/>
              <w:bottom w:val="single" w:sz="8" w:space="0" w:color="EBE8E7"/>
              <w:right w:val="nil"/>
            </w:tcBorders>
            <w:shd w:val="clear" w:color="auto" w:fill="auto"/>
            <w:vAlign w:val="center"/>
            <w:hideMark/>
          </w:tcPr>
          <w:p w14:paraId="76E7AEA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12%</w:t>
            </w:r>
          </w:p>
        </w:tc>
        <w:tc>
          <w:tcPr>
            <w:tcW w:w="380" w:type="pct"/>
            <w:tcBorders>
              <w:top w:val="nil"/>
              <w:left w:val="nil"/>
              <w:bottom w:val="single" w:sz="8" w:space="0" w:color="EBE8E7"/>
              <w:right w:val="nil"/>
            </w:tcBorders>
            <w:shd w:val="clear" w:color="auto" w:fill="auto"/>
            <w:vAlign w:val="center"/>
            <w:hideMark/>
          </w:tcPr>
          <w:p w14:paraId="31248E78"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15%</w:t>
            </w:r>
          </w:p>
        </w:tc>
        <w:tc>
          <w:tcPr>
            <w:tcW w:w="380" w:type="pct"/>
            <w:tcBorders>
              <w:top w:val="nil"/>
              <w:left w:val="nil"/>
              <w:bottom w:val="single" w:sz="8" w:space="0" w:color="EBE8E7"/>
              <w:right w:val="single" w:sz="12" w:space="0" w:color="FFFFFF" w:themeColor="background1"/>
            </w:tcBorders>
            <w:shd w:val="clear" w:color="auto" w:fill="auto"/>
            <w:vAlign w:val="center"/>
            <w:hideMark/>
          </w:tcPr>
          <w:p w14:paraId="627A5BD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17%</w:t>
            </w:r>
          </w:p>
        </w:tc>
      </w:tr>
      <w:tr w:rsidR="00C72A9E" w:rsidRPr="00A37AE9" w14:paraId="5218532A"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42DED0C5"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 </w:t>
            </w:r>
          </w:p>
        </w:tc>
        <w:tc>
          <w:tcPr>
            <w:tcW w:w="380" w:type="pct"/>
            <w:tcBorders>
              <w:top w:val="nil"/>
              <w:left w:val="nil"/>
              <w:bottom w:val="nil"/>
              <w:right w:val="nil"/>
            </w:tcBorders>
            <w:shd w:val="clear" w:color="auto" w:fill="auto"/>
            <w:vAlign w:val="center"/>
            <w:hideMark/>
          </w:tcPr>
          <w:p w14:paraId="78FBE297"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7230B091"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50F2924D"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04E375E8"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252F0845"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185D0161"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430AB690"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0D0A815E"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vAlign w:val="center"/>
            <w:hideMark/>
          </w:tcPr>
          <w:p w14:paraId="67119876" w14:textId="77777777" w:rsidR="00C72A9E" w:rsidRPr="00A37AE9" w:rsidRDefault="00C72A9E" w:rsidP="007008A8">
            <w:pPr>
              <w:jc w:val="right"/>
              <w:rPr>
                <w:rFonts w:ascii="Calibri" w:eastAsia="Times New Roman" w:hAnsi="Calibri" w:cs="Times New Roman"/>
                <w:color w:val="000000"/>
                <w:sz w:val="20"/>
                <w:szCs w:val="20"/>
              </w:rPr>
            </w:pPr>
          </w:p>
        </w:tc>
        <w:tc>
          <w:tcPr>
            <w:tcW w:w="380" w:type="pct"/>
            <w:tcBorders>
              <w:top w:val="nil"/>
              <w:left w:val="nil"/>
              <w:bottom w:val="nil"/>
              <w:right w:val="single" w:sz="12" w:space="0" w:color="FFFFFF" w:themeColor="background1"/>
            </w:tcBorders>
            <w:shd w:val="clear" w:color="auto" w:fill="auto"/>
            <w:vAlign w:val="center"/>
            <w:hideMark/>
          </w:tcPr>
          <w:p w14:paraId="2912D23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 </w:t>
            </w:r>
          </w:p>
        </w:tc>
      </w:tr>
      <w:tr w:rsidR="00C72A9E" w:rsidRPr="00A37AE9" w14:paraId="002CD13A"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0A3B4668"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Gross return</w:t>
            </w:r>
          </w:p>
        </w:tc>
        <w:tc>
          <w:tcPr>
            <w:tcW w:w="380" w:type="pct"/>
            <w:tcBorders>
              <w:top w:val="nil"/>
              <w:left w:val="nil"/>
              <w:bottom w:val="nil"/>
              <w:right w:val="nil"/>
            </w:tcBorders>
            <w:shd w:val="clear" w:color="auto" w:fill="auto"/>
            <w:noWrap/>
            <w:vAlign w:val="bottom"/>
            <w:hideMark/>
          </w:tcPr>
          <w:p w14:paraId="1F08B69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1.50%</w:t>
            </w:r>
          </w:p>
        </w:tc>
        <w:tc>
          <w:tcPr>
            <w:tcW w:w="380" w:type="pct"/>
            <w:tcBorders>
              <w:top w:val="nil"/>
              <w:left w:val="nil"/>
              <w:bottom w:val="nil"/>
              <w:right w:val="nil"/>
            </w:tcBorders>
            <w:shd w:val="clear" w:color="auto" w:fill="auto"/>
            <w:noWrap/>
            <w:vAlign w:val="bottom"/>
            <w:hideMark/>
          </w:tcPr>
          <w:p w14:paraId="2C5151D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2.98%</w:t>
            </w:r>
          </w:p>
        </w:tc>
        <w:tc>
          <w:tcPr>
            <w:tcW w:w="380" w:type="pct"/>
            <w:tcBorders>
              <w:top w:val="nil"/>
              <w:left w:val="nil"/>
              <w:bottom w:val="nil"/>
              <w:right w:val="nil"/>
            </w:tcBorders>
            <w:shd w:val="clear" w:color="auto" w:fill="auto"/>
            <w:noWrap/>
            <w:vAlign w:val="bottom"/>
            <w:hideMark/>
          </w:tcPr>
          <w:p w14:paraId="46BC70A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3.88%</w:t>
            </w:r>
          </w:p>
        </w:tc>
        <w:tc>
          <w:tcPr>
            <w:tcW w:w="380" w:type="pct"/>
            <w:tcBorders>
              <w:top w:val="nil"/>
              <w:left w:val="nil"/>
              <w:bottom w:val="nil"/>
              <w:right w:val="nil"/>
            </w:tcBorders>
            <w:shd w:val="clear" w:color="auto" w:fill="auto"/>
            <w:noWrap/>
            <w:vAlign w:val="bottom"/>
            <w:hideMark/>
          </w:tcPr>
          <w:p w14:paraId="463B8E1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4.61%</w:t>
            </w:r>
          </w:p>
        </w:tc>
        <w:tc>
          <w:tcPr>
            <w:tcW w:w="380" w:type="pct"/>
            <w:tcBorders>
              <w:top w:val="nil"/>
              <w:left w:val="nil"/>
              <w:bottom w:val="nil"/>
              <w:right w:val="nil"/>
            </w:tcBorders>
            <w:shd w:val="clear" w:color="auto" w:fill="auto"/>
            <w:noWrap/>
            <w:vAlign w:val="bottom"/>
            <w:hideMark/>
          </w:tcPr>
          <w:p w14:paraId="75C5E74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5.23%</w:t>
            </w:r>
          </w:p>
        </w:tc>
        <w:tc>
          <w:tcPr>
            <w:tcW w:w="380" w:type="pct"/>
            <w:tcBorders>
              <w:top w:val="nil"/>
              <w:left w:val="nil"/>
              <w:bottom w:val="nil"/>
              <w:right w:val="nil"/>
            </w:tcBorders>
            <w:shd w:val="clear" w:color="auto" w:fill="auto"/>
            <w:noWrap/>
            <w:vAlign w:val="bottom"/>
            <w:hideMark/>
          </w:tcPr>
          <w:p w14:paraId="4445BAF3"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5.53%</w:t>
            </w:r>
          </w:p>
        </w:tc>
        <w:tc>
          <w:tcPr>
            <w:tcW w:w="380" w:type="pct"/>
            <w:tcBorders>
              <w:top w:val="nil"/>
              <w:left w:val="nil"/>
              <w:bottom w:val="nil"/>
              <w:right w:val="nil"/>
            </w:tcBorders>
            <w:shd w:val="clear" w:color="auto" w:fill="auto"/>
            <w:noWrap/>
            <w:vAlign w:val="bottom"/>
            <w:hideMark/>
          </w:tcPr>
          <w:p w14:paraId="4221CC6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6.00%</w:t>
            </w:r>
          </w:p>
        </w:tc>
        <w:tc>
          <w:tcPr>
            <w:tcW w:w="380" w:type="pct"/>
            <w:tcBorders>
              <w:top w:val="nil"/>
              <w:left w:val="nil"/>
              <w:bottom w:val="nil"/>
              <w:right w:val="nil"/>
            </w:tcBorders>
            <w:shd w:val="clear" w:color="auto" w:fill="auto"/>
            <w:noWrap/>
            <w:vAlign w:val="bottom"/>
            <w:hideMark/>
          </w:tcPr>
          <w:p w14:paraId="25AA5F62"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6.46%</w:t>
            </w:r>
          </w:p>
        </w:tc>
        <w:tc>
          <w:tcPr>
            <w:tcW w:w="380" w:type="pct"/>
            <w:tcBorders>
              <w:top w:val="nil"/>
              <w:left w:val="nil"/>
              <w:bottom w:val="nil"/>
              <w:right w:val="nil"/>
            </w:tcBorders>
            <w:shd w:val="clear" w:color="auto" w:fill="auto"/>
            <w:noWrap/>
            <w:vAlign w:val="bottom"/>
            <w:hideMark/>
          </w:tcPr>
          <w:p w14:paraId="141A0AA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6.78%</w:t>
            </w:r>
          </w:p>
        </w:tc>
        <w:tc>
          <w:tcPr>
            <w:tcW w:w="380" w:type="pct"/>
            <w:tcBorders>
              <w:top w:val="nil"/>
              <w:left w:val="nil"/>
              <w:bottom w:val="nil"/>
              <w:right w:val="single" w:sz="12" w:space="0" w:color="FFFFFF" w:themeColor="background1"/>
            </w:tcBorders>
            <w:shd w:val="clear" w:color="auto" w:fill="auto"/>
            <w:noWrap/>
            <w:vAlign w:val="bottom"/>
            <w:hideMark/>
          </w:tcPr>
          <w:p w14:paraId="46171FD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7.23%</w:t>
            </w:r>
          </w:p>
        </w:tc>
      </w:tr>
      <w:tr w:rsidR="00C72A9E" w:rsidRPr="00A37AE9" w14:paraId="7B082E89"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52633CF1"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RPI</w:t>
            </w:r>
          </w:p>
        </w:tc>
        <w:tc>
          <w:tcPr>
            <w:tcW w:w="380" w:type="pct"/>
            <w:tcBorders>
              <w:top w:val="nil"/>
              <w:left w:val="nil"/>
              <w:bottom w:val="nil"/>
              <w:right w:val="nil"/>
            </w:tcBorders>
            <w:shd w:val="clear" w:color="auto" w:fill="auto"/>
            <w:noWrap/>
            <w:vAlign w:val="bottom"/>
            <w:hideMark/>
          </w:tcPr>
          <w:p w14:paraId="4425BD1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76D43E3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4764F2B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06C1469B"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3FBE6B2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0721452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2267CE4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0361481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nil"/>
            </w:tcBorders>
            <w:shd w:val="clear" w:color="auto" w:fill="auto"/>
            <w:noWrap/>
            <w:vAlign w:val="bottom"/>
            <w:hideMark/>
          </w:tcPr>
          <w:p w14:paraId="4617937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c>
          <w:tcPr>
            <w:tcW w:w="380" w:type="pct"/>
            <w:tcBorders>
              <w:top w:val="nil"/>
              <w:left w:val="nil"/>
              <w:bottom w:val="nil"/>
              <w:right w:val="single" w:sz="12" w:space="0" w:color="FFFFFF" w:themeColor="background1"/>
            </w:tcBorders>
            <w:shd w:val="clear" w:color="auto" w:fill="auto"/>
            <w:noWrap/>
            <w:vAlign w:val="bottom"/>
            <w:hideMark/>
          </w:tcPr>
          <w:p w14:paraId="11801DE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2.80%</w:t>
            </w:r>
          </w:p>
        </w:tc>
      </w:tr>
      <w:tr w:rsidR="00C72A9E" w:rsidRPr="00A37AE9" w14:paraId="5E64E4B0"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03EE3522"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Fund + Platform Costs</w:t>
            </w:r>
          </w:p>
        </w:tc>
        <w:tc>
          <w:tcPr>
            <w:tcW w:w="380" w:type="pct"/>
            <w:tcBorders>
              <w:top w:val="nil"/>
              <w:left w:val="nil"/>
              <w:bottom w:val="nil"/>
              <w:right w:val="nil"/>
            </w:tcBorders>
            <w:shd w:val="clear" w:color="auto" w:fill="auto"/>
            <w:noWrap/>
            <w:vAlign w:val="bottom"/>
            <w:hideMark/>
          </w:tcPr>
          <w:p w14:paraId="64791A7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14F91B2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0.48%</w:t>
            </w:r>
          </w:p>
        </w:tc>
        <w:tc>
          <w:tcPr>
            <w:tcW w:w="380" w:type="pct"/>
            <w:tcBorders>
              <w:top w:val="nil"/>
              <w:left w:val="nil"/>
              <w:bottom w:val="nil"/>
              <w:right w:val="nil"/>
            </w:tcBorders>
            <w:shd w:val="clear" w:color="auto" w:fill="auto"/>
            <w:noWrap/>
            <w:vAlign w:val="bottom"/>
            <w:hideMark/>
          </w:tcPr>
          <w:p w14:paraId="33936B6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398D20A5"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0.51%</w:t>
            </w:r>
          </w:p>
        </w:tc>
        <w:tc>
          <w:tcPr>
            <w:tcW w:w="380" w:type="pct"/>
            <w:tcBorders>
              <w:top w:val="nil"/>
              <w:left w:val="nil"/>
              <w:bottom w:val="nil"/>
              <w:right w:val="nil"/>
            </w:tcBorders>
            <w:shd w:val="clear" w:color="auto" w:fill="auto"/>
            <w:noWrap/>
            <w:vAlign w:val="bottom"/>
            <w:hideMark/>
          </w:tcPr>
          <w:p w14:paraId="762A30E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0.54%</w:t>
            </w:r>
          </w:p>
        </w:tc>
        <w:tc>
          <w:tcPr>
            <w:tcW w:w="380" w:type="pct"/>
            <w:tcBorders>
              <w:top w:val="nil"/>
              <w:left w:val="nil"/>
              <w:bottom w:val="nil"/>
              <w:right w:val="nil"/>
            </w:tcBorders>
            <w:shd w:val="clear" w:color="auto" w:fill="auto"/>
            <w:noWrap/>
            <w:vAlign w:val="bottom"/>
            <w:hideMark/>
          </w:tcPr>
          <w:p w14:paraId="4BA4163E"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0.57%</w:t>
            </w:r>
          </w:p>
        </w:tc>
        <w:tc>
          <w:tcPr>
            <w:tcW w:w="380" w:type="pct"/>
            <w:tcBorders>
              <w:top w:val="nil"/>
              <w:left w:val="nil"/>
              <w:bottom w:val="nil"/>
              <w:right w:val="nil"/>
            </w:tcBorders>
            <w:shd w:val="clear" w:color="auto" w:fill="auto"/>
            <w:noWrap/>
            <w:vAlign w:val="bottom"/>
            <w:hideMark/>
          </w:tcPr>
          <w:p w14:paraId="70F6250F"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0.62%</w:t>
            </w:r>
          </w:p>
        </w:tc>
        <w:tc>
          <w:tcPr>
            <w:tcW w:w="380" w:type="pct"/>
            <w:tcBorders>
              <w:top w:val="nil"/>
              <w:left w:val="nil"/>
              <w:bottom w:val="nil"/>
              <w:right w:val="nil"/>
            </w:tcBorders>
            <w:shd w:val="clear" w:color="auto" w:fill="auto"/>
            <w:noWrap/>
            <w:vAlign w:val="bottom"/>
            <w:hideMark/>
          </w:tcPr>
          <w:p w14:paraId="2DF896CD"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0.65%</w:t>
            </w:r>
          </w:p>
        </w:tc>
        <w:tc>
          <w:tcPr>
            <w:tcW w:w="380" w:type="pct"/>
            <w:tcBorders>
              <w:top w:val="nil"/>
              <w:left w:val="nil"/>
              <w:bottom w:val="nil"/>
              <w:right w:val="nil"/>
            </w:tcBorders>
            <w:shd w:val="clear" w:color="auto" w:fill="auto"/>
            <w:noWrap/>
            <w:vAlign w:val="bottom"/>
            <w:hideMark/>
          </w:tcPr>
          <w:p w14:paraId="34BE151C"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0.69%</w:t>
            </w:r>
          </w:p>
        </w:tc>
        <w:tc>
          <w:tcPr>
            <w:tcW w:w="380" w:type="pct"/>
            <w:tcBorders>
              <w:top w:val="nil"/>
              <w:left w:val="nil"/>
              <w:bottom w:val="nil"/>
              <w:right w:val="single" w:sz="12" w:space="0" w:color="FFFFFF" w:themeColor="background1"/>
            </w:tcBorders>
            <w:shd w:val="clear" w:color="auto" w:fill="auto"/>
            <w:noWrap/>
            <w:vAlign w:val="bottom"/>
            <w:hideMark/>
          </w:tcPr>
          <w:p w14:paraId="7B3C9674"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0.72%</w:t>
            </w:r>
          </w:p>
        </w:tc>
      </w:tr>
      <w:tr w:rsidR="00C72A9E" w:rsidRPr="00A37AE9" w14:paraId="5E7AC02C"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5FA61A37"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Adviser charges</w:t>
            </w:r>
          </w:p>
        </w:tc>
        <w:tc>
          <w:tcPr>
            <w:tcW w:w="380" w:type="pct"/>
            <w:tcBorders>
              <w:top w:val="nil"/>
              <w:left w:val="nil"/>
              <w:bottom w:val="nil"/>
              <w:right w:val="nil"/>
            </w:tcBorders>
            <w:shd w:val="clear" w:color="auto" w:fill="auto"/>
            <w:noWrap/>
            <w:vAlign w:val="bottom"/>
            <w:hideMark/>
          </w:tcPr>
          <w:p w14:paraId="02488780"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3382F2F9"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41AFFA2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171C5D6C"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3638B50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3884A6C1"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53FE0737"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53679F4C"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nil"/>
            </w:tcBorders>
            <w:shd w:val="clear" w:color="auto" w:fill="auto"/>
            <w:noWrap/>
            <w:vAlign w:val="bottom"/>
            <w:hideMark/>
          </w:tcPr>
          <w:p w14:paraId="49570A0A"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c>
          <w:tcPr>
            <w:tcW w:w="380" w:type="pct"/>
            <w:tcBorders>
              <w:top w:val="nil"/>
              <w:left w:val="nil"/>
              <w:bottom w:val="nil"/>
              <w:right w:val="single" w:sz="12" w:space="0" w:color="FFFFFF" w:themeColor="background1"/>
            </w:tcBorders>
            <w:shd w:val="clear" w:color="auto" w:fill="auto"/>
            <w:noWrap/>
            <w:vAlign w:val="bottom"/>
            <w:hideMark/>
          </w:tcPr>
          <w:p w14:paraId="2B28FCE6" w14:textId="77777777" w:rsidR="00C72A9E" w:rsidRPr="00A37AE9" w:rsidRDefault="00C72A9E" w:rsidP="007008A8">
            <w:pPr>
              <w:jc w:val="right"/>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0.50%</w:t>
            </w:r>
          </w:p>
        </w:tc>
      </w:tr>
      <w:tr w:rsidR="00C72A9E" w:rsidRPr="00A37AE9" w14:paraId="70A62C47" w14:textId="77777777" w:rsidTr="007008A8">
        <w:trPr>
          <w:trHeight w:val="280"/>
        </w:trPr>
        <w:tc>
          <w:tcPr>
            <w:tcW w:w="1199" w:type="pct"/>
            <w:tcBorders>
              <w:top w:val="single" w:sz="4" w:space="0" w:color="auto"/>
              <w:left w:val="single" w:sz="12" w:space="0" w:color="FFFFFF" w:themeColor="background1"/>
              <w:bottom w:val="nil"/>
              <w:right w:val="nil"/>
            </w:tcBorders>
            <w:shd w:val="clear" w:color="auto" w:fill="auto"/>
            <w:vAlign w:val="center"/>
            <w:hideMark/>
          </w:tcPr>
          <w:p w14:paraId="262B2FCD" w14:textId="77777777" w:rsidR="00C72A9E" w:rsidRPr="00A37AE9" w:rsidRDefault="00C72A9E" w:rsidP="007008A8">
            <w:pPr>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Net Real Return</w:t>
            </w:r>
          </w:p>
        </w:tc>
        <w:tc>
          <w:tcPr>
            <w:tcW w:w="380" w:type="pct"/>
            <w:tcBorders>
              <w:top w:val="single" w:sz="4" w:space="0" w:color="auto"/>
              <w:left w:val="nil"/>
              <w:bottom w:val="nil"/>
              <w:right w:val="nil"/>
            </w:tcBorders>
            <w:shd w:val="clear" w:color="auto" w:fill="auto"/>
            <w:noWrap/>
            <w:vAlign w:val="bottom"/>
            <w:hideMark/>
          </w:tcPr>
          <w:p w14:paraId="61D5A0D0"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-2.30%</w:t>
            </w:r>
          </w:p>
        </w:tc>
        <w:tc>
          <w:tcPr>
            <w:tcW w:w="380" w:type="pct"/>
            <w:tcBorders>
              <w:top w:val="single" w:sz="4" w:space="0" w:color="auto"/>
              <w:left w:val="nil"/>
              <w:bottom w:val="nil"/>
              <w:right w:val="nil"/>
            </w:tcBorders>
            <w:shd w:val="clear" w:color="auto" w:fill="auto"/>
            <w:noWrap/>
            <w:vAlign w:val="bottom"/>
            <w:hideMark/>
          </w:tcPr>
          <w:p w14:paraId="5B87477E"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-0.81%</w:t>
            </w:r>
          </w:p>
        </w:tc>
        <w:tc>
          <w:tcPr>
            <w:tcW w:w="380" w:type="pct"/>
            <w:tcBorders>
              <w:top w:val="single" w:sz="4" w:space="0" w:color="auto"/>
              <w:left w:val="nil"/>
              <w:bottom w:val="nil"/>
              <w:right w:val="nil"/>
            </w:tcBorders>
            <w:shd w:val="clear" w:color="auto" w:fill="auto"/>
            <w:noWrap/>
            <w:vAlign w:val="bottom"/>
            <w:hideMark/>
          </w:tcPr>
          <w:p w14:paraId="6FCE973E"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0.08%</w:t>
            </w:r>
          </w:p>
        </w:tc>
        <w:tc>
          <w:tcPr>
            <w:tcW w:w="380" w:type="pct"/>
            <w:tcBorders>
              <w:top w:val="single" w:sz="4" w:space="0" w:color="auto"/>
              <w:left w:val="nil"/>
              <w:bottom w:val="nil"/>
              <w:right w:val="nil"/>
            </w:tcBorders>
            <w:shd w:val="clear" w:color="auto" w:fill="auto"/>
            <w:noWrap/>
            <w:vAlign w:val="bottom"/>
            <w:hideMark/>
          </w:tcPr>
          <w:p w14:paraId="638D29FF"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0.79%</w:t>
            </w:r>
          </w:p>
        </w:tc>
        <w:tc>
          <w:tcPr>
            <w:tcW w:w="380" w:type="pct"/>
            <w:tcBorders>
              <w:top w:val="single" w:sz="4" w:space="0" w:color="auto"/>
              <w:left w:val="nil"/>
              <w:bottom w:val="nil"/>
              <w:right w:val="nil"/>
            </w:tcBorders>
            <w:shd w:val="clear" w:color="auto" w:fill="auto"/>
            <w:noWrap/>
            <w:vAlign w:val="bottom"/>
            <w:hideMark/>
          </w:tcPr>
          <w:p w14:paraId="3990FADF"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1.39%</w:t>
            </w:r>
          </w:p>
        </w:tc>
        <w:tc>
          <w:tcPr>
            <w:tcW w:w="380" w:type="pct"/>
            <w:tcBorders>
              <w:top w:val="single" w:sz="4" w:space="0" w:color="auto"/>
              <w:left w:val="nil"/>
              <w:bottom w:val="nil"/>
              <w:right w:val="nil"/>
            </w:tcBorders>
            <w:shd w:val="clear" w:color="auto" w:fill="auto"/>
            <w:noWrap/>
            <w:vAlign w:val="bottom"/>
            <w:hideMark/>
          </w:tcPr>
          <w:p w14:paraId="09F511AF"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1.66%</w:t>
            </w:r>
          </w:p>
        </w:tc>
        <w:tc>
          <w:tcPr>
            <w:tcW w:w="380" w:type="pct"/>
            <w:tcBorders>
              <w:top w:val="single" w:sz="4" w:space="0" w:color="auto"/>
              <w:left w:val="nil"/>
              <w:bottom w:val="nil"/>
              <w:right w:val="nil"/>
            </w:tcBorders>
            <w:shd w:val="clear" w:color="auto" w:fill="auto"/>
            <w:noWrap/>
            <w:vAlign w:val="bottom"/>
            <w:hideMark/>
          </w:tcPr>
          <w:p w14:paraId="19B423CB"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2.08%</w:t>
            </w:r>
          </w:p>
        </w:tc>
        <w:tc>
          <w:tcPr>
            <w:tcW w:w="380" w:type="pct"/>
            <w:tcBorders>
              <w:top w:val="single" w:sz="4" w:space="0" w:color="auto"/>
              <w:left w:val="nil"/>
              <w:bottom w:val="nil"/>
              <w:right w:val="nil"/>
            </w:tcBorders>
            <w:shd w:val="clear" w:color="auto" w:fill="auto"/>
            <w:noWrap/>
            <w:vAlign w:val="bottom"/>
            <w:hideMark/>
          </w:tcPr>
          <w:p w14:paraId="2ECDE595"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2.51%</w:t>
            </w:r>
          </w:p>
        </w:tc>
        <w:tc>
          <w:tcPr>
            <w:tcW w:w="380" w:type="pct"/>
            <w:tcBorders>
              <w:top w:val="single" w:sz="4" w:space="0" w:color="auto"/>
              <w:left w:val="nil"/>
              <w:bottom w:val="nil"/>
              <w:right w:val="nil"/>
            </w:tcBorders>
            <w:shd w:val="clear" w:color="auto" w:fill="auto"/>
            <w:noWrap/>
            <w:vAlign w:val="bottom"/>
            <w:hideMark/>
          </w:tcPr>
          <w:p w14:paraId="2BED5FDE"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2.79%</w:t>
            </w:r>
          </w:p>
        </w:tc>
        <w:tc>
          <w:tcPr>
            <w:tcW w:w="380" w:type="pct"/>
            <w:tcBorders>
              <w:top w:val="single" w:sz="4" w:space="0" w:color="auto"/>
              <w:left w:val="nil"/>
              <w:bottom w:val="nil"/>
              <w:right w:val="single" w:sz="12" w:space="0" w:color="FFFFFF" w:themeColor="background1"/>
            </w:tcBorders>
            <w:shd w:val="clear" w:color="auto" w:fill="auto"/>
            <w:noWrap/>
            <w:vAlign w:val="bottom"/>
            <w:hideMark/>
          </w:tcPr>
          <w:p w14:paraId="4C83A037" w14:textId="77777777" w:rsidR="00C72A9E" w:rsidRPr="00A37AE9" w:rsidRDefault="00C72A9E" w:rsidP="007008A8">
            <w:pPr>
              <w:jc w:val="right"/>
              <w:rPr>
                <w:rFonts w:ascii="Calibri" w:eastAsia="Times New Roman" w:hAnsi="Calibri" w:cs="Times New Roman"/>
                <w:b/>
                <w:bCs/>
                <w:color w:val="000000"/>
                <w:sz w:val="20"/>
                <w:szCs w:val="20"/>
              </w:rPr>
            </w:pPr>
            <w:r w:rsidRPr="00A37AE9">
              <w:rPr>
                <w:rFonts w:ascii="Calibri" w:eastAsia="Times New Roman" w:hAnsi="Calibri" w:cs="Times New Roman"/>
                <w:b/>
                <w:bCs/>
                <w:color w:val="000000"/>
                <w:sz w:val="20"/>
                <w:szCs w:val="20"/>
              </w:rPr>
              <w:t>3.21%</w:t>
            </w:r>
          </w:p>
        </w:tc>
      </w:tr>
      <w:tr w:rsidR="00C72A9E" w:rsidRPr="00A37AE9" w14:paraId="5D7E45F8" w14:textId="77777777" w:rsidTr="007008A8">
        <w:trPr>
          <w:trHeight w:val="280"/>
        </w:trPr>
        <w:tc>
          <w:tcPr>
            <w:tcW w:w="1199" w:type="pct"/>
            <w:tcBorders>
              <w:top w:val="nil"/>
              <w:left w:val="single" w:sz="12" w:space="0" w:color="FFFFFF" w:themeColor="background1"/>
              <w:bottom w:val="nil"/>
              <w:right w:val="nil"/>
            </w:tcBorders>
            <w:shd w:val="clear" w:color="auto" w:fill="auto"/>
            <w:vAlign w:val="center"/>
            <w:hideMark/>
          </w:tcPr>
          <w:p w14:paraId="31FD98E1"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 </w:t>
            </w:r>
          </w:p>
        </w:tc>
        <w:tc>
          <w:tcPr>
            <w:tcW w:w="380" w:type="pct"/>
            <w:tcBorders>
              <w:top w:val="nil"/>
              <w:left w:val="nil"/>
              <w:bottom w:val="nil"/>
              <w:right w:val="nil"/>
            </w:tcBorders>
            <w:shd w:val="clear" w:color="auto" w:fill="auto"/>
            <w:noWrap/>
            <w:vAlign w:val="bottom"/>
            <w:hideMark/>
          </w:tcPr>
          <w:p w14:paraId="68DEB798"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4336237A"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0EFBD052"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6D739AD3"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070783F9"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465E898D"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33CFB280"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41FFAEE4"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nil"/>
            </w:tcBorders>
            <w:shd w:val="clear" w:color="auto" w:fill="auto"/>
            <w:noWrap/>
            <w:vAlign w:val="bottom"/>
            <w:hideMark/>
          </w:tcPr>
          <w:p w14:paraId="08E54B3B" w14:textId="77777777" w:rsidR="00C72A9E" w:rsidRPr="00A37AE9" w:rsidRDefault="00C72A9E" w:rsidP="007008A8">
            <w:pPr>
              <w:rPr>
                <w:rFonts w:ascii="Calibri" w:eastAsia="Times New Roman" w:hAnsi="Calibri" w:cs="Times New Roman"/>
                <w:color w:val="000000"/>
                <w:sz w:val="20"/>
                <w:szCs w:val="20"/>
              </w:rPr>
            </w:pPr>
          </w:p>
        </w:tc>
        <w:tc>
          <w:tcPr>
            <w:tcW w:w="380" w:type="pct"/>
            <w:tcBorders>
              <w:top w:val="nil"/>
              <w:left w:val="nil"/>
              <w:bottom w:val="nil"/>
              <w:right w:val="single" w:sz="12" w:space="0" w:color="FFFFFF" w:themeColor="background1"/>
            </w:tcBorders>
            <w:shd w:val="clear" w:color="auto" w:fill="auto"/>
            <w:noWrap/>
            <w:vAlign w:val="bottom"/>
            <w:hideMark/>
          </w:tcPr>
          <w:p w14:paraId="5F83C736" w14:textId="77777777" w:rsidR="00C72A9E" w:rsidRPr="00A37AE9" w:rsidRDefault="00C72A9E" w:rsidP="007008A8">
            <w:pPr>
              <w:rPr>
                <w:rFonts w:ascii="Calibri" w:eastAsia="Times New Roman" w:hAnsi="Calibri" w:cs="Times New Roman"/>
                <w:color w:val="000000"/>
                <w:sz w:val="20"/>
                <w:szCs w:val="20"/>
              </w:rPr>
            </w:pPr>
            <w:r w:rsidRPr="00A37AE9">
              <w:rPr>
                <w:rFonts w:ascii="Calibri" w:eastAsia="Times New Roman" w:hAnsi="Calibri" w:cs="Times New Roman"/>
                <w:color w:val="000000"/>
                <w:sz w:val="20"/>
                <w:szCs w:val="20"/>
              </w:rPr>
              <w:t> </w:t>
            </w:r>
          </w:p>
        </w:tc>
      </w:tr>
    </w:tbl>
    <w:p w14:paraId="504F35C0" w14:textId="77777777" w:rsidR="00C72A9E" w:rsidRDefault="00C72A9E" w:rsidP="00C72A9E">
      <w:pPr>
        <w:rPr>
          <w:rFonts w:asciiTheme="majorHAnsi" w:eastAsiaTheme="majorEastAsia" w:hAnsiTheme="majorHAnsi" w:cstheme="majorBidi"/>
          <w:b/>
          <w:bCs/>
          <w:sz w:val="26"/>
          <w:szCs w:val="26"/>
        </w:rPr>
      </w:pPr>
      <w:r>
        <w:br w:type="page"/>
      </w:r>
    </w:p>
    <w:p w14:paraId="67175C98" w14:textId="77777777" w:rsidR="00C72A9E" w:rsidRDefault="00C72A9E">
      <w:pPr>
        <w:rPr>
          <w:rFonts w:asciiTheme="majorHAnsi" w:hAnsiTheme="majorHAnsi"/>
          <w:sz w:val="22"/>
          <w:szCs w:val="22"/>
        </w:rPr>
        <w:sectPr w:rsidR="00C72A9E" w:rsidSect="00C72A9E">
          <w:pgSz w:w="16840" w:h="11900" w:orient="landscape"/>
          <w:pgMar w:top="1800" w:right="1191" w:bottom="1800" w:left="1191" w:header="708" w:footer="708" w:gutter="0"/>
          <w:cols w:space="708"/>
          <w:titlePg/>
          <w:docGrid w:linePitch="360"/>
        </w:sectPr>
      </w:pPr>
    </w:p>
    <w:p w14:paraId="4CBF8737" w14:textId="77777777" w:rsidR="00C72A9E" w:rsidRPr="00992EF8" w:rsidRDefault="00C72A9E" w:rsidP="00C72A9E">
      <w:pPr>
        <w:pStyle w:val="Heading2"/>
        <w:numPr>
          <w:ilvl w:val="0"/>
          <w:numId w:val="18"/>
        </w:numPr>
      </w:pPr>
      <w:bookmarkStart w:id="9" w:name="_Toc394484443"/>
      <w:r w:rsidRPr="00992EF8">
        <w:lastRenderedPageBreak/>
        <w:t>Life Expectancy</w:t>
      </w:r>
      <w:bookmarkEnd w:id="9"/>
    </w:p>
    <w:p w14:paraId="6AB324C4" w14:textId="77777777" w:rsidR="00C72A9E" w:rsidRPr="00992EF8" w:rsidRDefault="00C72A9E" w:rsidP="00C72A9E">
      <w:pPr>
        <w:rPr>
          <w:rFonts w:asciiTheme="majorHAnsi" w:hAnsiTheme="majorHAnsi"/>
          <w:sz w:val="22"/>
          <w:szCs w:val="22"/>
        </w:rPr>
      </w:pPr>
    </w:p>
    <w:p w14:paraId="75966098" w14:textId="77777777" w:rsidR="00C72A9E" w:rsidRPr="00992EF8" w:rsidRDefault="00C72A9E" w:rsidP="00C72A9E">
      <w:pPr>
        <w:rPr>
          <w:rFonts w:asciiTheme="majorHAnsi" w:hAnsiTheme="majorHAnsi"/>
          <w:sz w:val="22"/>
          <w:szCs w:val="22"/>
          <w:u w:val="single"/>
        </w:rPr>
      </w:pPr>
      <w:r w:rsidRPr="00992EF8">
        <w:rPr>
          <w:rFonts w:asciiTheme="majorHAnsi" w:hAnsiTheme="majorHAnsi"/>
          <w:sz w:val="22"/>
          <w:szCs w:val="22"/>
          <w:u w:val="single"/>
        </w:rPr>
        <w:t>Cohort / Period Life Expectancy</w:t>
      </w:r>
    </w:p>
    <w:p w14:paraId="2504AEEA" w14:textId="77777777" w:rsidR="00C72A9E" w:rsidRPr="00992EF8" w:rsidRDefault="00C72A9E" w:rsidP="00C72A9E">
      <w:pPr>
        <w:rPr>
          <w:rFonts w:asciiTheme="majorHAnsi" w:hAnsiTheme="majorHAnsi"/>
          <w:sz w:val="22"/>
          <w:szCs w:val="22"/>
        </w:rPr>
      </w:pPr>
    </w:p>
    <w:p w14:paraId="3FB71F0D" w14:textId="77777777" w:rsidR="00C72A9E" w:rsidRPr="00992EF8" w:rsidRDefault="00C72A9E" w:rsidP="00C72A9E">
      <w:pPr>
        <w:pStyle w:val="ListParagraph"/>
        <w:numPr>
          <w:ilvl w:val="0"/>
          <w:numId w:val="1"/>
        </w:numPr>
        <w:rPr>
          <w:rFonts w:asciiTheme="majorHAnsi" w:eastAsia="Times New Roman" w:hAnsiTheme="majorHAnsi" w:cs="Times New Roman"/>
          <w:sz w:val="22"/>
          <w:szCs w:val="22"/>
        </w:rPr>
      </w:pPr>
      <w:r w:rsidRPr="00992EF8">
        <w:rPr>
          <w:rFonts w:asciiTheme="majorHAnsi" w:eastAsia="Times New Roman" w:hAnsiTheme="majorHAnsi" w:cs="Times New Roman"/>
          <w:sz w:val="22"/>
          <w:szCs w:val="22"/>
        </w:rPr>
        <w:t xml:space="preserve">Period life expectancy – this shows life expectancy in a given period </w:t>
      </w:r>
      <w:proofErr w:type="spellStart"/>
      <w:r w:rsidRPr="00992EF8">
        <w:rPr>
          <w:rFonts w:asciiTheme="majorHAnsi" w:eastAsia="Times New Roman" w:hAnsiTheme="majorHAnsi" w:cs="Times New Roman"/>
          <w:sz w:val="22"/>
          <w:szCs w:val="22"/>
        </w:rPr>
        <w:t>eg</w:t>
      </w:r>
      <w:proofErr w:type="spellEnd"/>
      <w:r w:rsidRPr="00992EF8">
        <w:rPr>
          <w:rFonts w:asciiTheme="majorHAnsi" w:eastAsia="Times New Roman" w:hAnsiTheme="majorHAnsi" w:cs="Times New Roman"/>
          <w:sz w:val="22"/>
          <w:szCs w:val="22"/>
        </w:rPr>
        <w:t xml:space="preserve"> as at 2015, for differing years of birth. </w:t>
      </w:r>
    </w:p>
    <w:p w14:paraId="6F2EF99B" w14:textId="77777777" w:rsidR="00C72A9E" w:rsidRPr="00992EF8" w:rsidRDefault="00C72A9E" w:rsidP="00C72A9E">
      <w:pPr>
        <w:pStyle w:val="ListParagraph"/>
        <w:rPr>
          <w:rFonts w:asciiTheme="majorHAnsi" w:eastAsia="Times New Roman" w:hAnsiTheme="majorHAnsi" w:cs="Times New Roman"/>
          <w:sz w:val="22"/>
          <w:szCs w:val="22"/>
        </w:rPr>
      </w:pPr>
    </w:p>
    <w:p w14:paraId="782A9EE0" w14:textId="77777777" w:rsidR="00C72A9E" w:rsidRPr="00992EF8" w:rsidRDefault="00C72A9E" w:rsidP="00C72A9E">
      <w:pPr>
        <w:pStyle w:val="ListParagraph"/>
        <w:numPr>
          <w:ilvl w:val="0"/>
          <w:numId w:val="1"/>
        </w:numPr>
        <w:rPr>
          <w:rFonts w:asciiTheme="majorHAnsi" w:eastAsia="Times New Roman" w:hAnsiTheme="majorHAnsi" w:cs="Times New Roman"/>
          <w:sz w:val="22"/>
          <w:szCs w:val="22"/>
        </w:rPr>
      </w:pPr>
      <w:r w:rsidRPr="00992EF8">
        <w:rPr>
          <w:rFonts w:asciiTheme="majorHAnsi" w:eastAsia="Times New Roman" w:hAnsiTheme="majorHAnsi" w:cs="Times New Roman"/>
          <w:sz w:val="22"/>
          <w:szCs w:val="22"/>
        </w:rPr>
        <w:t>2. Cohort life expectancy– this tracks the experience of a given cohort who shares the same year of birth year after year and takes into account known and predicted improvements in mortality. Projections of cohorts are based on extrapolation of past trends in mortality improvement and expert opinion about future trends.</w:t>
      </w:r>
    </w:p>
    <w:p w14:paraId="161DE30D" w14:textId="77777777" w:rsidR="00C72A9E" w:rsidRPr="00992EF8" w:rsidRDefault="00C72A9E" w:rsidP="00C72A9E">
      <w:pPr>
        <w:rPr>
          <w:rFonts w:asciiTheme="majorHAnsi" w:eastAsia="Times New Roman" w:hAnsiTheme="majorHAnsi" w:cs="Times New Roman"/>
          <w:sz w:val="22"/>
          <w:szCs w:val="22"/>
        </w:rPr>
      </w:pPr>
    </w:p>
    <w:p w14:paraId="139C1DF3" w14:textId="77777777" w:rsidR="00C72A9E" w:rsidRPr="00992EF8" w:rsidRDefault="00C72A9E" w:rsidP="00C72A9E">
      <w:pPr>
        <w:rPr>
          <w:rFonts w:asciiTheme="majorHAnsi" w:eastAsia="Times New Roman" w:hAnsiTheme="majorHAnsi" w:cs="Times New Roman"/>
          <w:sz w:val="22"/>
          <w:szCs w:val="22"/>
        </w:rPr>
      </w:pPr>
      <w:r w:rsidRPr="00992EF8">
        <w:rPr>
          <w:rFonts w:asciiTheme="majorHAnsi" w:eastAsia="Times New Roman" w:hAnsiTheme="majorHAnsi" w:cs="Times New Roman"/>
          <w:sz w:val="22"/>
          <w:szCs w:val="22"/>
        </w:rPr>
        <w:t>The ONS believes that cohort life expectancy is a better measure of how long a person of a given age is expected to live</w:t>
      </w:r>
    </w:p>
    <w:p w14:paraId="6735BDE7" w14:textId="77777777" w:rsidR="00C72A9E" w:rsidRPr="00992EF8" w:rsidRDefault="00C72A9E" w:rsidP="00C72A9E">
      <w:pPr>
        <w:rPr>
          <w:rFonts w:asciiTheme="majorHAnsi" w:hAnsiTheme="majorHAnsi"/>
          <w:sz w:val="22"/>
          <w:szCs w:val="22"/>
        </w:rPr>
      </w:pPr>
    </w:p>
    <w:p w14:paraId="13C343D4" w14:textId="77777777" w:rsidR="00C72A9E" w:rsidRPr="00992EF8" w:rsidRDefault="00C72A9E" w:rsidP="00C72A9E">
      <w:pPr>
        <w:rPr>
          <w:rFonts w:asciiTheme="majorHAnsi" w:hAnsiTheme="majorHAnsi"/>
          <w:sz w:val="22"/>
          <w:szCs w:val="22"/>
          <w:u w:val="single"/>
        </w:rPr>
      </w:pPr>
      <w:r w:rsidRPr="00992EF8">
        <w:rPr>
          <w:rFonts w:asciiTheme="majorHAnsi" w:hAnsiTheme="majorHAnsi"/>
          <w:sz w:val="22"/>
          <w:szCs w:val="22"/>
          <w:u w:val="single"/>
        </w:rPr>
        <w:t>Underestimating Life Expectancy</w:t>
      </w:r>
    </w:p>
    <w:p w14:paraId="450DC7A0" w14:textId="77777777" w:rsidR="00C72A9E" w:rsidRPr="00992EF8" w:rsidRDefault="00C72A9E" w:rsidP="00C72A9E">
      <w:pPr>
        <w:rPr>
          <w:rFonts w:asciiTheme="majorHAnsi" w:hAnsiTheme="majorHAnsi"/>
          <w:sz w:val="22"/>
          <w:szCs w:val="22"/>
          <w:u w:val="single"/>
        </w:rPr>
      </w:pPr>
    </w:p>
    <w:p w14:paraId="3CB01406"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There’s a gap of two to seven years between how long consumers think they’re going to live and how long experts believe they’re actually going to live. (Cox, 2015)</w:t>
      </w:r>
    </w:p>
    <w:p w14:paraId="49FD0E49" w14:textId="77777777" w:rsidR="00C72A9E" w:rsidRPr="00992EF8" w:rsidRDefault="00C72A9E" w:rsidP="00C72A9E">
      <w:pPr>
        <w:rPr>
          <w:rFonts w:asciiTheme="majorHAnsi" w:hAnsiTheme="majorHAnsi"/>
          <w:sz w:val="22"/>
          <w:szCs w:val="22"/>
        </w:rPr>
      </w:pPr>
    </w:p>
    <w:p w14:paraId="0C19D3C6" w14:textId="77777777" w:rsidR="00C72A9E" w:rsidRPr="00992EF8" w:rsidRDefault="00C72A9E" w:rsidP="00C72A9E">
      <w:pPr>
        <w:rPr>
          <w:rFonts w:asciiTheme="majorHAnsi" w:hAnsiTheme="majorHAnsi"/>
          <w:sz w:val="22"/>
          <w:szCs w:val="22"/>
          <w:u w:val="single"/>
        </w:rPr>
      </w:pPr>
      <w:r w:rsidRPr="00992EF8">
        <w:rPr>
          <w:rFonts w:asciiTheme="majorHAnsi" w:hAnsiTheme="majorHAnsi"/>
          <w:sz w:val="22"/>
          <w:szCs w:val="22"/>
          <w:u w:val="single"/>
        </w:rPr>
        <w:t>Survival Probability (Female)</w:t>
      </w:r>
    </w:p>
    <w:p w14:paraId="55DE10D2" w14:textId="77777777" w:rsidR="00C72A9E" w:rsidRPr="00992EF8" w:rsidRDefault="00C72A9E" w:rsidP="00C72A9E">
      <w:pPr>
        <w:rPr>
          <w:rFonts w:asciiTheme="majorHAnsi" w:hAnsiTheme="majorHAnsi"/>
          <w:sz w:val="22"/>
          <w:szCs w:val="22"/>
        </w:rPr>
      </w:pPr>
    </w:p>
    <w:p w14:paraId="4338237A" w14:textId="77777777" w:rsidR="00C72A9E" w:rsidRPr="00992EF8" w:rsidRDefault="00C72A9E" w:rsidP="00C72A9E">
      <w:pPr>
        <w:rPr>
          <w:rFonts w:asciiTheme="majorHAnsi" w:hAnsiTheme="majorHAnsi"/>
          <w:sz w:val="22"/>
          <w:szCs w:val="22"/>
        </w:rPr>
      </w:pPr>
      <w:r w:rsidRPr="00992EF8">
        <w:rPr>
          <w:rFonts w:asciiTheme="majorHAnsi" w:hAnsiTheme="majorHAnsi"/>
          <w:b/>
          <w:noProof/>
          <w:sz w:val="22"/>
          <w:szCs w:val="22"/>
          <w:lang w:val="en-US"/>
        </w:rPr>
        <w:drawing>
          <wp:inline distT="0" distB="0" distL="0" distR="0" wp14:anchorId="60A60504" wp14:editId="5C1B53F3">
            <wp:extent cx="5266055" cy="2034988"/>
            <wp:effectExtent l="0" t="0" r="0" b="0"/>
            <wp:docPr id="2" name="Picture 2" descr="Macintosh HD:private:var:folders:n2:rczxgk4n63761l5fc30mm09h0000gn:T:TemporaryItems:Life-Expentancy-Survival-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n2:rczxgk4n63761l5fc30mm09h0000gn:T:TemporaryItems:Life-Expentancy-Survival-Probability.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55160"/>
                    <a:stretch/>
                  </pic:blipFill>
                  <pic:spPr bwMode="auto">
                    <a:xfrm>
                      <a:off x="0" y="0"/>
                      <a:ext cx="5266055" cy="20349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992EF8">
        <w:rPr>
          <w:rFonts w:asciiTheme="majorHAnsi" w:hAnsiTheme="majorHAnsi"/>
          <w:sz w:val="22"/>
          <w:szCs w:val="22"/>
        </w:rPr>
        <w:t xml:space="preserve"> </w:t>
      </w:r>
    </w:p>
    <w:p w14:paraId="5BB5DB55" w14:textId="77777777" w:rsidR="00C72A9E" w:rsidRPr="00992EF8" w:rsidRDefault="00C72A9E" w:rsidP="00C72A9E">
      <w:pPr>
        <w:rPr>
          <w:rFonts w:asciiTheme="majorHAnsi" w:hAnsiTheme="majorHAnsi"/>
          <w:sz w:val="22"/>
          <w:szCs w:val="22"/>
        </w:rPr>
      </w:pPr>
    </w:p>
    <w:p w14:paraId="6AAC27D0"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1F7087E4" wp14:editId="3B19FDE9">
            <wp:extent cx="5262880" cy="5865495"/>
            <wp:effectExtent l="0" t="0" r="0" b="1905"/>
            <wp:docPr id="5" name="Picture 5" descr="Macintosh HD:Users:christopherhindle:Dropbox:Screenshots:Screenshot 2018-07-20 22.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opherhindle:Dropbox:Screenshots:Screenshot 2018-07-20 22.50.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880" cy="5865495"/>
                    </a:xfrm>
                    <a:prstGeom prst="rect">
                      <a:avLst/>
                    </a:prstGeom>
                    <a:noFill/>
                    <a:ln>
                      <a:noFill/>
                    </a:ln>
                  </pic:spPr>
                </pic:pic>
              </a:graphicData>
            </a:graphic>
          </wp:inline>
        </w:drawing>
      </w:r>
    </w:p>
    <w:p w14:paraId="698051E4" w14:textId="77777777" w:rsidR="00C72A9E" w:rsidRPr="00992EF8" w:rsidRDefault="00C72A9E" w:rsidP="00C72A9E">
      <w:pPr>
        <w:rPr>
          <w:rFonts w:asciiTheme="majorHAnsi" w:hAnsiTheme="majorHAnsi"/>
          <w:sz w:val="22"/>
          <w:szCs w:val="22"/>
        </w:rPr>
      </w:pPr>
    </w:p>
    <w:p w14:paraId="7AD29747" w14:textId="77777777" w:rsidR="00C72A9E" w:rsidRPr="00992EF8" w:rsidRDefault="00C72A9E" w:rsidP="00C72A9E">
      <w:pPr>
        <w:rPr>
          <w:rFonts w:asciiTheme="majorHAnsi" w:hAnsiTheme="majorHAnsi"/>
          <w:sz w:val="22"/>
          <w:szCs w:val="22"/>
          <w:u w:val="single"/>
        </w:rPr>
      </w:pPr>
      <w:r w:rsidRPr="00992EF8">
        <w:rPr>
          <w:rFonts w:asciiTheme="majorHAnsi" w:hAnsiTheme="majorHAnsi"/>
          <w:sz w:val="22"/>
          <w:szCs w:val="22"/>
          <w:u w:val="single"/>
        </w:rPr>
        <w:t xml:space="preserve">Survival Probability Male </w:t>
      </w:r>
    </w:p>
    <w:p w14:paraId="7C027DDE" w14:textId="77777777" w:rsidR="00C72A9E" w:rsidRPr="00992EF8" w:rsidRDefault="00C72A9E" w:rsidP="00C72A9E">
      <w:pPr>
        <w:rPr>
          <w:rFonts w:asciiTheme="majorHAnsi" w:hAnsiTheme="majorHAnsi"/>
          <w:sz w:val="22"/>
          <w:szCs w:val="22"/>
        </w:rPr>
      </w:pPr>
      <w:r w:rsidRPr="00992EF8">
        <w:rPr>
          <w:rFonts w:asciiTheme="majorHAnsi" w:hAnsiTheme="majorHAnsi"/>
          <w:b/>
          <w:noProof/>
          <w:sz w:val="22"/>
          <w:szCs w:val="22"/>
          <w:lang w:val="en-US"/>
        </w:rPr>
        <w:drawing>
          <wp:inline distT="0" distB="0" distL="0" distR="0" wp14:anchorId="6F2EA371" wp14:editId="6B41110C">
            <wp:extent cx="5266055" cy="2083633"/>
            <wp:effectExtent l="0" t="0" r="0" b="0"/>
            <wp:docPr id="4" name="Picture 4" descr="Macintosh HD:private:var:folders:n2:rczxgk4n63761l5fc30mm09h0000gn:T:TemporaryItems:Life-Expentancy-Survival-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n2:rczxgk4n63761l5fc30mm09h0000gn:T:TemporaryItems:Life-Expentancy-Survival-Probability.jpg"/>
                    <pic:cNvPicPr>
                      <a:picLocks noChangeAspect="1" noChangeArrowheads="1"/>
                    </pic:cNvPicPr>
                  </pic:nvPicPr>
                  <pic:blipFill rotWithShape="1">
                    <a:blip r:embed="rId35">
                      <a:extLst>
                        <a:ext uri="{28A0092B-C50C-407E-A947-70E740481C1C}">
                          <a14:useLocalDpi xmlns:a14="http://schemas.microsoft.com/office/drawing/2010/main" val="0"/>
                        </a:ext>
                      </a:extLst>
                    </a:blip>
                    <a:srcRect b="54088"/>
                    <a:stretch/>
                  </pic:blipFill>
                  <pic:spPr bwMode="auto">
                    <a:xfrm>
                      <a:off x="0" y="0"/>
                      <a:ext cx="5266055" cy="20836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A3B041" w14:textId="77777777" w:rsidR="00C72A9E" w:rsidRPr="00992EF8" w:rsidRDefault="00C72A9E" w:rsidP="00C72A9E">
      <w:pPr>
        <w:rPr>
          <w:rFonts w:asciiTheme="majorHAnsi" w:hAnsiTheme="majorHAnsi"/>
          <w:sz w:val="22"/>
          <w:szCs w:val="22"/>
        </w:rPr>
      </w:pPr>
    </w:p>
    <w:p w14:paraId="50AD51CE"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3A37E1E3" wp14:editId="0CE183EE">
            <wp:extent cx="5262880" cy="5817235"/>
            <wp:effectExtent l="0" t="0" r="0" b="0"/>
            <wp:docPr id="6" name="Picture 6" descr="Macintosh HD:Users:christopherhindle:Dropbox:Screenshots:Screenshot 2018-07-20 22.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ristopherhindle:Dropbox:Screenshots:Screenshot 2018-07-20 22.51.0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2880" cy="5817235"/>
                    </a:xfrm>
                    <a:prstGeom prst="rect">
                      <a:avLst/>
                    </a:prstGeom>
                    <a:noFill/>
                    <a:ln>
                      <a:noFill/>
                    </a:ln>
                  </pic:spPr>
                </pic:pic>
              </a:graphicData>
            </a:graphic>
          </wp:inline>
        </w:drawing>
      </w:r>
    </w:p>
    <w:p w14:paraId="24281B69" w14:textId="77777777" w:rsidR="00C72A9E" w:rsidRPr="00992EF8" w:rsidRDefault="00C72A9E" w:rsidP="00C72A9E">
      <w:pPr>
        <w:rPr>
          <w:rFonts w:asciiTheme="majorHAnsi" w:hAnsiTheme="majorHAnsi"/>
          <w:noProof/>
          <w:sz w:val="22"/>
          <w:szCs w:val="22"/>
          <w:u w:val="single"/>
          <w:lang w:val="en-US"/>
        </w:rPr>
      </w:pPr>
    </w:p>
    <w:p w14:paraId="31B0613D" w14:textId="77777777" w:rsidR="00C72A9E" w:rsidRPr="00992EF8" w:rsidRDefault="00C72A9E" w:rsidP="00C72A9E">
      <w:pPr>
        <w:rPr>
          <w:rFonts w:asciiTheme="majorHAnsi" w:hAnsiTheme="majorHAnsi"/>
          <w:noProof/>
          <w:sz w:val="22"/>
          <w:szCs w:val="22"/>
          <w:u w:val="single"/>
          <w:lang w:val="en-US"/>
        </w:rPr>
      </w:pPr>
      <w:r w:rsidRPr="00992EF8">
        <w:rPr>
          <w:rFonts w:asciiTheme="majorHAnsi" w:hAnsiTheme="majorHAnsi"/>
          <w:noProof/>
          <w:sz w:val="22"/>
          <w:szCs w:val="22"/>
          <w:u w:val="single"/>
          <w:lang w:val="en-US"/>
        </w:rPr>
        <w:t>Survival Probability (Couple)</w:t>
      </w:r>
    </w:p>
    <w:p w14:paraId="568F2FAF" w14:textId="77777777" w:rsidR="00C72A9E" w:rsidRPr="00992EF8" w:rsidRDefault="00C72A9E" w:rsidP="00C72A9E">
      <w:pPr>
        <w:rPr>
          <w:rFonts w:asciiTheme="majorHAnsi" w:hAnsiTheme="majorHAnsi"/>
          <w:noProof/>
          <w:sz w:val="22"/>
          <w:szCs w:val="22"/>
          <w:u w:val="single"/>
          <w:lang w:val="en-US"/>
        </w:rPr>
      </w:pPr>
    </w:p>
    <w:p w14:paraId="4E253433"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428EF95C" wp14:editId="0201053C">
            <wp:extent cx="5269230" cy="2051874"/>
            <wp:effectExtent l="0" t="0" r="0" b="5715"/>
            <wp:docPr id="3" name="Picture 3" descr="Macintosh HD:Users:christopherhindle:Dropbox:Screenshots:Screenshot 2018-07-20 22.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opherhindle:Dropbox:Screenshots:Screenshot 2018-07-20 22.39.57.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9055"/>
                    <a:stretch/>
                  </pic:blipFill>
                  <pic:spPr bwMode="auto">
                    <a:xfrm>
                      <a:off x="0" y="0"/>
                      <a:ext cx="5269230" cy="20518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506A63" w14:textId="77777777" w:rsidR="00C72A9E" w:rsidRPr="00992EF8" w:rsidRDefault="00C72A9E" w:rsidP="00C72A9E">
      <w:pPr>
        <w:rPr>
          <w:rFonts w:asciiTheme="majorHAnsi" w:hAnsiTheme="majorHAnsi"/>
          <w:b/>
          <w:sz w:val="22"/>
          <w:szCs w:val="22"/>
        </w:rPr>
      </w:pPr>
    </w:p>
    <w:p w14:paraId="1C0E13FC" w14:textId="77777777" w:rsidR="00C72A9E" w:rsidRPr="00992EF8" w:rsidRDefault="00C72A9E" w:rsidP="00C72A9E">
      <w:pPr>
        <w:rPr>
          <w:rFonts w:asciiTheme="majorHAnsi" w:hAnsiTheme="majorHAnsi"/>
          <w:sz w:val="22"/>
          <w:szCs w:val="22"/>
          <w:u w:val="single"/>
        </w:rPr>
      </w:pPr>
      <w:r w:rsidRPr="00992EF8">
        <w:rPr>
          <w:rFonts w:asciiTheme="majorHAnsi" w:hAnsiTheme="majorHAnsi"/>
          <w:sz w:val="22"/>
          <w:szCs w:val="22"/>
          <w:u w:val="single"/>
        </w:rPr>
        <w:t>Survival Probability at Age 65, born in 1950 (Couple)</w:t>
      </w:r>
    </w:p>
    <w:p w14:paraId="632170FA" w14:textId="77777777" w:rsidR="00C72A9E" w:rsidRPr="00992EF8" w:rsidRDefault="00C72A9E" w:rsidP="00C72A9E">
      <w:pPr>
        <w:rPr>
          <w:rFonts w:asciiTheme="majorHAnsi" w:hAnsiTheme="majorHAnsi"/>
          <w:sz w:val="22"/>
          <w:szCs w:val="22"/>
        </w:rPr>
      </w:pPr>
    </w:p>
    <w:p w14:paraId="14F81D23"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7C3274DB" wp14:editId="36BA0041">
            <wp:extent cx="5266055" cy="2633345"/>
            <wp:effectExtent l="0" t="0" r="0" b="8255"/>
            <wp:docPr id="1" name="Picture 1" descr="Macintosh HD:private:var:folders:n2:rczxgk4n63761l5fc30mm09h0000gn:T:TemporaryItems:Life-Expentancy-Survival-Probability-cou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n2:rczxgk4n63761l5fc30mm09h0000gn:T:TemporaryItems:Life-Expentancy-Survival-Probability-coupl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6055" cy="2633345"/>
                    </a:xfrm>
                    <a:prstGeom prst="rect">
                      <a:avLst/>
                    </a:prstGeom>
                    <a:noFill/>
                    <a:ln>
                      <a:noFill/>
                    </a:ln>
                  </pic:spPr>
                </pic:pic>
              </a:graphicData>
            </a:graphic>
          </wp:inline>
        </w:drawing>
      </w:r>
    </w:p>
    <w:p w14:paraId="0D8273ED" w14:textId="6B9CCC8E" w:rsidR="00C72A9E" w:rsidRDefault="00C72A9E" w:rsidP="00C72A9E">
      <w:pPr>
        <w:rPr>
          <w:rFonts w:asciiTheme="majorHAnsi" w:hAnsiTheme="majorHAnsi"/>
          <w:sz w:val="22"/>
          <w:szCs w:val="22"/>
        </w:rPr>
      </w:pPr>
      <w:r w:rsidRPr="00992EF8">
        <w:rPr>
          <w:rFonts w:asciiTheme="majorHAnsi" w:hAnsiTheme="majorHAnsi"/>
          <w:sz w:val="22"/>
          <w:szCs w:val="22"/>
        </w:rPr>
        <w:t>(Cox, 2015) (Finalytiq, 2016) (ONS, 2015)</w:t>
      </w:r>
    </w:p>
    <w:p w14:paraId="7960661C" w14:textId="77777777" w:rsidR="00C72A9E" w:rsidRDefault="00C72A9E">
      <w:pPr>
        <w:rPr>
          <w:rFonts w:asciiTheme="majorHAnsi" w:hAnsiTheme="majorHAnsi"/>
          <w:sz w:val="22"/>
          <w:szCs w:val="22"/>
        </w:rPr>
      </w:pPr>
      <w:r>
        <w:rPr>
          <w:rFonts w:asciiTheme="majorHAnsi" w:hAnsiTheme="majorHAnsi"/>
          <w:sz w:val="22"/>
          <w:szCs w:val="22"/>
        </w:rPr>
        <w:br w:type="page"/>
      </w:r>
    </w:p>
    <w:p w14:paraId="023A2A33" w14:textId="77777777" w:rsidR="00C72A9E" w:rsidRPr="00992EF8" w:rsidRDefault="00C72A9E" w:rsidP="00C72A9E">
      <w:pPr>
        <w:pStyle w:val="Heading2"/>
        <w:numPr>
          <w:ilvl w:val="0"/>
          <w:numId w:val="18"/>
        </w:numPr>
      </w:pPr>
      <w:bookmarkStart w:id="10" w:name="_Toc394484444"/>
      <w:r w:rsidRPr="00992EF8">
        <w:lastRenderedPageBreak/>
        <w:t>Property</w:t>
      </w:r>
      <w:bookmarkEnd w:id="10"/>
    </w:p>
    <w:p w14:paraId="0C719AE8" w14:textId="77777777" w:rsidR="00C72A9E" w:rsidRPr="00992EF8" w:rsidRDefault="00C72A9E" w:rsidP="00C72A9E">
      <w:pPr>
        <w:rPr>
          <w:rFonts w:asciiTheme="majorHAnsi" w:hAnsiTheme="majorHAnsi"/>
          <w:sz w:val="22"/>
          <w:szCs w:val="22"/>
        </w:rPr>
      </w:pPr>
    </w:p>
    <w:p w14:paraId="7D50687B" w14:textId="77777777" w:rsidR="00C72A9E" w:rsidRPr="00992EF8" w:rsidRDefault="00C72A9E" w:rsidP="00C72A9E">
      <w:pPr>
        <w:rPr>
          <w:rFonts w:asciiTheme="majorHAnsi" w:hAnsiTheme="majorHAnsi"/>
          <w:b/>
          <w:sz w:val="22"/>
          <w:szCs w:val="22"/>
        </w:rPr>
      </w:pPr>
      <w:r w:rsidRPr="00992EF8">
        <w:rPr>
          <w:rFonts w:asciiTheme="majorHAnsi" w:hAnsiTheme="majorHAnsi"/>
          <w:b/>
          <w:sz w:val="22"/>
          <w:szCs w:val="22"/>
        </w:rPr>
        <w:t>Property Price Growth</w:t>
      </w:r>
    </w:p>
    <w:p w14:paraId="10C54258" w14:textId="77777777" w:rsidR="00C72A9E" w:rsidRPr="00992EF8" w:rsidRDefault="00C72A9E" w:rsidP="00C72A9E">
      <w:pPr>
        <w:rPr>
          <w:rFonts w:asciiTheme="majorHAnsi" w:hAnsiTheme="majorHAnsi"/>
          <w:b/>
          <w:sz w:val="22"/>
          <w:szCs w:val="22"/>
        </w:rPr>
      </w:pPr>
    </w:p>
    <w:p w14:paraId="7A8EE47C"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 xml:space="preserve">Measured over 20 years, the average property in the UK has delivered a nominal return of 6.8% per annum (Land Registry, 2018) (Nationwide, 2018). </w:t>
      </w:r>
    </w:p>
    <w:p w14:paraId="56E063EE" w14:textId="77777777" w:rsidR="00C72A9E" w:rsidRPr="00992EF8" w:rsidRDefault="00C72A9E" w:rsidP="00C72A9E">
      <w:pPr>
        <w:rPr>
          <w:rFonts w:asciiTheme="majorHAnsi" w:hAnsiTheme="majorHAnsi"/>
          <w:sz w:val="22"/>
          <w:szCs w:val="22"/>
        </w:rPr>
      </w:pPr>
    </w:p>
    <w:p w14:paraId="7966771A"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14C7736D" wp14:editId="42A3E85A">
            <wp:extent cx="5270500" cy="3273493"/>
            <wp:effectExtent l="0" t="0" r="0"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273493"/>
                    </a:xfrm>
                    <a:prstGeom prst="rect">
                      <a:avLst/>
                    </a:prstGeom>
                    <a:noFill/>
                    <a:ln>
                      <a:noFill/>
                    </a:ln>
                  </pic:spPr>
                </pic:pic>
              </a:graphicData>
            </a:graphic>
          </wp:inline>
        </w:drawing>
      </w:r>
    </w:p>
    <w:p w14:paraId="6AF411E2" w14:textId="77777777" w:rsidR="00C72A9E" w:rsidRPr="00992EF8" w:rsidRDefault="00C72A9E" w:rsidP="00C72A9E">
      <w:pPr>
        <w:rPr>
          <w:rFonts w:asciiTheme="majorHAnsi" w:hAnsiTheme="majorHAnsi"/>
          <w:sz w:val="22"/>
          <w:szCs w:val="22"/>
        </w:rPr>
      </w:pPr>
    </w:p>
    <w:p w14:paraId="305F0B9B"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In the short-term (0 – 5 years), it is our view that property prices will match inflation. Political risk (Brexit), combined with rising interest rates and the introduction of additional property tax charges (SDLT) are likely to reduce property price growth in the short-term when compared to the long-run growth prospects. This view is shared by Knight Frank in their UK Residential Market Forecast (2018):</w:t>
      </w:r>
    </w:p>
    <w:p w14:paraId="494D0091" w14:textId="77777777" w:rsidR="00C72A9E" w:rsidRPr="00992EF8" w:rsidRDefault="00C72A9E" w:rsidP="00C72A9E">
      <w:pPr>
        <w:rPr>
          <w:rFonts w:asciiTheme="majorHAnsi" w:hAnsiTheme="majorHAnsi"/>
          <w:sz w:val="22"/>
          <w:szCs w:val="22"/>
        </w:rPr>
      </w:pPr>
    </w:p>
    <w:p w14:paraId="2A1B8A8D"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251590AD" wp14:editId="475BF75E">
            <wp:extent cx="5271770" cy="6885940"/>
            <wp:effectExtent l="0" t="0" r="11430" b="0"/>
            <wp:docPr id="11" name="Picture 11" descr="Macintosh HD:Users:christopherhindle:Dropbox:Screenshots:Screenshot 2018-07-29 08.4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rhindle:Dropbox:Screenshots:Screenshot 2018-07-29 08.46.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770" cy="6885940"/>
                    </a:xfrm>
                    <a:prstGeom prst="rect">
                      <a:avLst/>
                    </a:prstGeom>
                    <a:noFill/>
                    <a:ln>
                      <a:noFill/>
                    </a:ln>
                  </pic:spPr>
                </pic:pic>
              </a:graphicData>
            </a:graphic>
          </wp:inline>
        </w:drawing>
      </w:r>
    </w:p>
    <w:p w14:paraId="7D9F0ED2" w14:textId="77777777" w:rsidR="00C72A9E" w:rsidRPr="00992EF8" w:rsidRDefault="00C72A9E" w:rsidP="00C72A9E">
      <w:pPr>
        <w:rPr>
          <w:rFonts w:asciiTheme="majorHAnsi" w:hAnsiTheme="majorHAnsi"/>
          <w:sz w:val="22"/>
          <w:szCs w:val="22"/>
        </w:rPr>
      </w:pPr>
    </w:p>
    <w:p w14:paraId="5A08990E" w14:textId="77777777" w:rsidR="00C72A9E" w:rsidRPr="00992EF8" w:rsidRDefault="00C72A9E" w:rsidP="00C72A9E">
      <w:pPr>
        <w:rPr>
          <w:rFonts w:asciiTheme="majorHAnsi" w:hAnsiTheme="majorHAnsi"/>
          <w:sz w:val="22"/>
          <w:szCs w:val="22"/>
        </w:rPr>
      </w:pPr>
    </w:p>
    <w:p w14:paraId="16E49737"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In the medium to long-term (5+ years), it is our view that property prices will exceed inflation by 1.00%. This is lower than the 3.00% real return delivered by property over the past 20 years. Reasons for this include:</w:t>
      </w:r>
    </w:p>
    <w:p w14:paraId="5A89C663" w14:textId="77777777" w:rsidR="00C72A9E" w:rsidRPr="00992EF8" w:rsidRDefault="00C72A9E" w:rsidP="00C72A9E">
      <w:pPr>
        <w:rPr>
          <w:rFonts w:asciiTheme="majorHAnsi" w:hAnsiTheme="majorHAnsi"/>
          <w:sz w:val="22"/>
          <w:szCs w:val="22"/>
        </w:rPr>
      </w:pPr>
    </w:p>
    <w:p w14:paraId="728CA0A6" w14:textId="77777777" w:rsidR="00C72A9E" w:rsidRPr="00992EF8" w:rsidRDefault="00C72A9E" w:rsidP="00C72A9E">
      <w:pPr>
        <w:pStyle w:val="ListParagraph"/>
        <w:numPr>
          <w:ilvl w:val="0"/>
          <w:numId w:val="5"/>
        </w:numPr>
        <w:rPr>
          <w:rFonts w:asciiTheme="majorHAnsi" w:hAnsiTheme="majorHAnsi"/>
          <w:sz w:val="22"/>
          <w:szCs w:val="22"/>
        </w:rPr>
      </w:pPr>
      <w:r w:rsidRPr="00992EF8">
        <w:rPr>
          <w:rFonts w:asciiTheme="majorHAnsi" w:hAnsiTheme="majorHAnsi"/>
          <w:sz w:val="22"/>
          <w:szCs w:val="22"/>
        </w:rPr>
        <w:t xml:space="preserve">Relative to earnings, house prices are expensive (Value Investor, 2018). When house prices become less affordable, fewer individuals will be able to purchase houses, resulting in diminished demand. </w:t>
      </w:r>
    </w:p>
    <w:p w14:paraId="17FBF499" w14:textId="77777777" w:rsidR="00C72A9E" w:rsidRPr="00992EF8" w:rsidRDefault="00C72A9E" w:rsidP="00C72A9E">
      <w:pPr>
        <w:pStyle w:val="ListParagraph"/>
        <w:ind w:left="360"/>
        <w:rPr>
          <w:rFonts w:asciiTheme="majorHAnsi" w:hAnsiTheme="majorHAnsi"/>
          <w:sz w:val="22"/>
          <w:szCs w:val="22"/>
        </w:rPr>
      </w:pPr>
    </w:p>
    <w:p w14:paraId="37E34176" w14:textId="77777777" w:rsidR="00C72A9E" w:rsidRPr="00992EF8" w:rsidRDefault="00C72A9E" w:rsidP="00C72A9E">
      <w:pPr>
        <w:pStyle w:val="ListParagraph"/>
        <w:ind w:left="360"/>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2E2DA5AB" wp14:editId="283966C4">
            <wp:extent cx="5270500" cy="2966085"/>
            <wp:effectExtent l="0" t="0" r="12700"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2966085"/>
                    </a:xfrm>
                    <a:prstGeom prst="rect">
                      <a:avLst/>
                    </a:prstGeom>
                    <a:noFill/>
                    <a:ln>
                      <a:noFill/>
                    </a:ln>
                  </pic:spPr>
                </pic:pic>
              </a:graphicData>
            </a:graphic>
          </wp:inline>
        </w:drawing>
      </w:r>
    </w:p>
    <w:p w14:paraId="24532855" w14:textId="77777777" w:rsidR="00C72A9E" w:rsidRPr="00992EF8" w:rsidRDefault="00C72A9E" w:rsidP="00C72A9E">
      <w:pPr>
        <w:rPr>
          <w:rFonts w:asciiTheme="majorHAnsi" w:hAnsiTheme="majorHAnsi"/>
          <w:sz w:val="22"/>
          <w:szCs w:val="22"/>
        </w:rPr>
      </w:pPr>
    </w:p>
    <w:p w14:paraId="253EFDE7" w14:textId="77777777" w:rsidR="00C72A9E" w:rsidRPr="00992EF8" w:rsidRDefault="00C72A9E" w:rsidP="00C72A9E">
      <w:pPr>
        <w:pStyle w:val="ListParagraph"/>
        <w:numPr>
          <w:ilvl w:val="0"/>
          <w:numId w:val="5"/>
        </w:numPr>
        <w:rPr>
          <w:rFonts w:asciiTheme="majorHAnsi" w:hAnsiTheme="majorHAnsi"/>
          <w:sz w:val="22"/>
          <w:szCs w:val="22"/>
        </w:rPr>
      </w:pPr>
      <w:r w:rsidRPr="00992EF8">
        <w:rPr>
          <w:rFonts w:asciiTheme="majorHAnsi" w:hAnsiTheme="majorHAnsi"/>
          <w:sz w:val="22"/>
          <w:szCs w:val="22"/>
        </w:rPr>
        <w:t>Fewer individuals can afford to meet the monthly mortgage payments (Positive Money, 2018). This situation is likely to intensify further when interest rates increase.</w:t>
      </w:r>
    </w:p>
    <w:p w14:paraId="7C9F4328" w14:textId="77777777" w:rsidR="00C72A9E" w:rsidRPr="00992EF8" w:rsidRDefault="00C72A9E" w:rsidP="00C72A9E">
      <w:pPr>
        <w:rPr>
          <w:rFonts w:asciiTheme="majorHAnsi" w:hAnsiTheme="majorHAnsi"/>
          <w:sz w:val="22"/>
          <w:szCs w:val="22"/>
        </w:rPr>
      </w:pPr>
    </w:p>
    <w:p w14:paraId="04E0573C" w14:textId="77777777" w:rsidR="00C72A9E" w:rsidRPr="00992EF8" w:rsidRDefault="00C72A9E" w:rsidP="00C72A9E">
      <w:pPr>
        <w:ind w:left="1440"/>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3D283848" wp14:editId="4B03FC25">
            <wp:extent cx="3768152" cy="2393748"/>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8609" cy="2394038"/>
                    </a:xfrm>
                    <a:prstGeom prst="rect">
                      <a:avLst/>
                    </a:prstGeom>
                    <a:noFill/>
                    <a:ln>
                      <a:noFill/>
                    </a:ln>
                  </pic:spPr>
                </pic:pic>
              </a:graphicData>
            </a:graphic>
          </wp:inline>
        </w:drawing>
      </w:r>
    </w:p>
    <w:p w14:paraId="2D7F5C75" w14:textId="77777777" w:rsidR="00C72A9E" w:rsidRPr="00992EF8" w:rsidRDefault="00C72A9E" w:rsidP="00C72A9E">
      <w:pPr>
        <w:rPr>
          <w:rFonts w:asciiTheme="majorHAnsi" w:hAnsiTheme="majorHAnsi"/>
          <w:sz w:val="22"/>
          <w:szCs w:val="22"/>
        </w:rPr>
      </w:pPr>
    </w:p>
    <w:p w14:paraId="0A0ACF2C" w14:textId="77777777" w:rsidR="00C72A9E" w:rsidRPr="00992EF8" w:rsidRDefault="00C72A9E" w:rsidP="00C72A9E">
      <w:pPr>
        <w:rPr>
          <w:rFonts w:asciiTheme="majorHAnsi" w:hAnsiTheme="majorHAnsi"/>
          <w:sz w:val="22"/>
          <w:szCs w:val="22"/>
        </w:rPr>
      </w:pPr>
    </w:p>
    <w:p w14:paraId="5BBA7637"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Based on the above, it is our view that property prices are not likely to exceed inflation by as much as they have in the past. We do however believe that property prices are likely to continue to exceed inflation as:</w:t>
      </w:r>
    </w:p>
    <w:p w14:paraId="1B5614C4" w14:textId="77777777" w:rsidR="00C72A9E" w:rsidRPr="00992EF8" w:rsidRDefault="00C72A9E" w:rsidP="00C72A9E">
      <w:pPr>
        <w:rPr>
          <w:rFonts w:asciiTheme="majorHAnsi" w:hAnsiTheme="majorHAnsi"/>
          <w:sz w:val="22"/>
          <w:szCs w:val="22"/>
        </w:rPr>
      </w:pPr>
    </w:p>
    <w:p w14:paraId="5067758C" w14:textId="77777777" w:rsidR="00C72A9E" w:rsidRPr="00992EF8" w:rsidRDefault="00C72A9E" w:rsidP="00C72A9E">
      <w:pPr>
        <w:pStyle w:val="ListParagraph"/>
        <w:numPr>
          <w:ilvl w:val="0"/>
          <w:numId w:val="6"/>
        </w:numPr>
        <w:rPr>
          <w:rFonts w:asciiTheme="majorHAnsi" w:hAnsiTheme="majorHAnsi"/>
          <w:sz w:val="22"/>
          <w:szCs w:val="22"/>
        </w:rPr>
      </w:pPr>
      <w:r w:rsidRPr="00992EF8">
        <w:rPr>
          <w:rFonts w:asciiTheme="majorHAnsi" w:hAnsiTheme="majorHAnsi"/>
          <w:sz w:val="22"/>
          <w:szCs w:val="22"/>
        </w:rPr>
        <w:t>There is an undersupply of new houses relative to the needs created by population growth (House of Commons 2018). Despite continued shortages, structural issues in the property market means that this is unlikely to be resolved in the short-medium term and therefore deliver a real return.</w:t>
      </w:r>
    </w:p>
    <w:p w14:paraId="2C156D9A" w14:textId="77777777" w:rsidR="00C72A9E" w:rsidRPr="00992EF8" w:rsidRDefault="00C72A9E" w:rsidP="00C72A9E">
      <w:pPr>
        <w:rPr>
          <w:rFonts w:asciiTheme="majorHAnsi" w:hAnsiTheme="majorHAnsi"/>
          <w:sz w:val="22"/>
          <w:szCs w:val="22"/>
        </w:rPr>
      </w:pPr>
    </w:p>
    <w:p w14:paraId="4D1A7C72"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72ECF70C" wp14:editId="07CE7EE0">
            <wp:extent cx="5269230" cy="2847975"/>
            <wp:effectExtent l="0" t="0" r="0" b="0"/>
            <wp:docPr id="15" name="Picture 15" descr="Macintosh HD:Users:christopherhindle:Dropbox:Screenshots:Screenshot 2018-07-28 20.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ristopherhindle:Dropbox:Screenshots:Screenshot 2018-07-28 20.37.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9230" cy="2847975"/>
                    </a:xfrm>
                    <a:prstGeom prst="rect">
                      <a:avLst/>
                    </a:prstGeom>
                    <a:noFill/>
                    <a:ln>
                      <a:noFill/>
                    </a:ln>
                  </pic:spPr>
                </pic:pic>
              </a:graphicData>
            </a:graphic>
          </wp:inline>
        </w:drawing>
      </w:r>
    </w:p>
    <w:p w14:paraId="0C24F08B" w14:textId="77777777" w:rsidR="00C72A9E" w:rsidRPr="00992EF8" w:rsidRDefault="00C72A9E" w:rsidP="00C72A9E">
      <w:pPr>
        <w:rPr>
          <w:rFonts w:asciiTheme="majorHAnsi" w:hAnsiTheme="majorHAnsi"/>
          <w:sz w:val="22"/>
          <w:szCs w:val="22"/>
        </w:rPr>
      </w:pPr>
    </w:p>
    <w:p w14:paraId="002CB0C8" w14:textId="77777777" w:rsidR="00C72A9E" w:rsidRPr="00992EF8" w:rsidRDefault="00C72A9E" w:rsidP="00C72A9E">
      <w:pPr>
        <w:rPr>
          <w:rFonts w:asciiTheme="majorHAnsi" w:hAnsiTheme="majorHAnsi"/>
          <w:b/>
          <w:sz w:val="22"/>
          <w:szCs w:val="22"/>
        </w:rPr>
      </w:pPr>
      <w:r w:rsidRPr="00992EF8">
        <w:rPr>
          <w:rFonts w:asciiTheme="majorHAnsi" w:hAnsiTheme="majorHAnsi"/>
          <w:b/>
          <w:sz w:val="22"/>
          <w:szCs w:val="22"/>
        </w:rPr>
        <w:t>Rental Income Growth</w:t>
      </w:r>
    </w:p>
    <w:p w14:paraId="4D86A98B" w14:textId="77777777" w:rsidR="00C72A9E" w:rsidRPr="00992EF8" w:rsidRDefault="00C72A9E" w:rsidP="00C72A9E">
      <w:pPr>
        <w:rPr>
          <w:rFonts w:asciiTheme="majorHAnsi" w:hAnsiTheme="majorHAnsi"/>
          <w:b/>
          <w:sz w:val="22"/>
          <w:szCs w:val="22"/>
        </w:rPr>
      </w:pPr>
    </w:p>
    <w:p w14:paraId="42231EE0"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Rental growth in the UK has slowed considerably in recent years, from a high of around 3% per annum to 0% per annum for the twelve months up to December 2017 (</w:t>
      </w:r>
      <w:proofErr w:type="spellStart"/>
      <w:r w:rsidRPr="00992EF8">
        <w:rPr>
          <w:rFonts w:asciiTheme="majorHAnsi" w:hAnsiTheme="majorHAnsi"/>
          <w:sz w:val="22"/>
          <w:szCs w:val="22"/>
        </w:rPr>
        <w:t>Landbay</w:t>
      </w:r>
      <w:proofErr w:type="spellEnd"/>
      <w:r w:rsidRPr="00992EF8">
        <w:rPr>
          <w:rFonts w:asciiTheme="majorHAnsi" w:hAnsiTheme="majorHAnsi"/>
          <w:sz w:val="22"/>
          <w:szCs w:val="22"/>
        </w:rPr>
        <w:t>, 2018).</w:t>
      </w:r>
    </w:p>
    <w:p w14:paraId="58645662" w14:textId="77777777" w:rsidR="00C72A9E" w:rsidRPr="00992EF8" w:rsidRDefault="00C72A9E" w:rsidP="00C72A9E">
      <w:pPr>
        <w:rPr>
          <w:rFonts w:asciiTheme="majorHAnsi" w:hAnsiTheme="majorHAnsi"/>
          <w:sz w:val="22"/>
          <w:szCs w:val="22"/>
        </w:rPr>
      </w:pPr>
    </w:p>
    <w:p w14:paraId="1C52D3BB"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17E60010" wp14:editId="6D9D317D">
            <wp:extent cx="5271770" cy="4118610"/>
            <wp:effectExtent l="0" t="0" r="11430" b="0"/>
            <wp:docPr id="16" name="Picture 16" descr="Macintosh HD:Users:christopherhindle:Dropbox:Screenshots:Screenshot 2018-07-29 08.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rhindle:Dropbox:Screenshots:Screenshot 2018-07-29 08.57.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1770" cy="4118610"/>
                    </a:xfrm>
                    <a:prstGeom prst="rect">
                      <a:avLst/>
                    </a:prstGeom>
                    <a:noFill/>
                    <a:ln>
                      <a:noFill/>
                    </a:ln>
                  </pic:spPr>
                </pic:pic>
              </a:graphicData>
            </a:graphic>
          </wp:inline>
        </w:drawing>
      </w:r>
    </w:p>
    <w:p w14:paraId="30917684" w14:textId="77777777" w:rsidR="00C72A9E" w:rsidRPr="00992EF8" w:rsidRDefault="00C72A9E" w:rsidP="00C72A9E">
      <w:pPr>
        <w:rPr>
          <w:rFonts w:asciiTheme="majorHAnsi" w:hAnsiTheme="majorHAnsi"/>
          <w:sz w:val="22"/>
          <w:szCs w:val="22"/>
        </w:rPr>
      </w:pPr>
    </w:p>
    <w:p w14:paraId="577C67AA"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The slowdown in rental growth has not been consistent across the country. For the year ending 2017, the South West, where the majority of our clients are likely to have rental properties, experienced rental income growth of (1.63%), whereas London rents fell by -0.83% (</w:t>
      </w:r>
      <w:proofErr w:type="spellStart"/>
      <w:r w:rsidRPr="00992EF8">
        <w:rPr>
          <w:rFonts w:asciiTheme="majorHAnsi" w:hAnsiTheme="majorHAnsi"/>
          <w:sz w:val="22"/>
          <w:szCs w:val="22"/>
        </w:rPr>
        <w:t>Landbay</w:t>
      </w:r>
      <w:proofErr w:type="spellEnd"/>
      <w:r w:rsidRPr="00992EF8">
        <w:rPr>
          <w:rFonts w:asciiTheme="majorHAnsi" w:hAnsiTheme="majorHAnsi"/>
          <w:sz w:val="22"/>
          <w:szCs w:val="22"/>
        </w:rPr>
        <w:t>, 2018).</w:t>
      </w:r>
    </w:p>
    <w:p w14:paraId="5AA1CA0F"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lastRenderedPageBreak/>
        <w:drawing>
          <wp:inline distT="0" distB="0" distL="0" distR="0" wp14:anchorId="428073C8" wp14:editId="54E6A4BC">
            <wp:extent cx="3609996" cy="5829300"/>
            <wp:effectExtent l="0" t="0" r="0" b="0"/>
            <wp:docPr id="17" name="Picture 17" descr="Macintosh HD:Users:christopherhindle:Dropbox:Screenshots:Screenshot 2018-07-29 09.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opherhindle:Dropbox:Screenshots:Screenshot 2018-07-29 09.02.5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96" cy="5829300"/>
                    </a:xfrm>
                    <a:prstGeom prst="rect">
                      <a:avLst/>
                    </a:prstGeom>
                    <a:noFill/>
                    <a:ln>
                      <a:noFill/>
                    </a:ln>
                  </pic:spPr>
                </pic:pic>
              </a:graphicData>
            </a:graphic>
          </wp:inline>
        </w:drawing>
      </w:r>
    </w:p>
    <w:p w14:paraId="0BD19178" w14:textId="77777777" w:rsidR="00C72A9E" w:rsidRPr="00992EF8" w:rsidRDefault="00C72A9E" w:rsidP="00C72A9E">
      <w:pPr>
        <w:rPr>
          <w:rFonts w:asciiTheme="majorHAnsi" w:hAnsiTheme="majorHAnsi"/>
          <w:sz w:val="22"/>
          <w:szCs w:val="22"/>
        </w:rPr>
      </w:pPr>
    </w:p>
    <w:p w14:paraId="01C67147" w14:textId="77777777" w:rsidR="00C72A9E" w:rsidRPr="00992EF8" w:rsidRDefault="00C72A9E" w:rsidP="00C72A9E">
      <w:pPr>
        <w:rPr>
          <w:rFonts w:asciiTheme="majorHAnsi" w:hAnsiTheme="majorHAnsi"/>
          <w:sz w:val="22"/>
          <w:szCs w:val="22"/>
        </w:rPr>
      </w:pPr>
    </w:p>
    <w:p w14:paraId="34F46B9D"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Within the South West, Bristol delivered rental income growth of 2.69%. Reasons for higher rental income in Bristol compared to the South West and the UK include (Knight Frank, 2015):</w:t>
      </w:r>
    </w:p>
    <w:p w14:paraId="1FD13012" w14:textId="77777777" w:rsidR="00C72A9E" w:rsidRPr="00992EF8" w:rsidRDefault="00C72A9E" w:rsidP="00C72A9E">
      <w:pPr>
        <w:rPr>
          <w:rFonts w:asciiTheme="majorHAnsi" w:hAnsiTheme="majorHAnsi"/>
          <w:sz w:val="22"/>
          <w:szCs w:val="22"/>
        </w:rPr>
      </w:pPr>
    </w:p>
    <w:p w14:paraId="372DD857" w14:textId="77777777" w:rsidR="00C72A9E" w:rsidRPr="00992EF8" w:rsidRDefault="00C72A9E" w:rsidP="00C72A9E">
      <w:pPr>
        <w:pStyle w:val="ListParagraph"/>
        <w:numPr>
          <w:ilvl w:val="0"/>
          <w:numId w:val="10"/>
        </w:numPr>
        <w:rPr>
          <w:rFonts w:asciiTheme="majorHAnsi" w:hAnsiTheme="majorHAnsi"/>
          <w:sz w:val="22"/>
          <w:szCs w:val="22"/>
        </w:rPr>
      </w:pPr>
      <w:r w:rsidRPr="00992EF8">
        <w:rPr>
          <w:rFonts w:asciiTheme="majorHAnsi" w:hAnsiTheme="majorHAnsi"/>
          <w:sz w:val="22"/>
          <w:szCs w:val="22"/>
        </w:rPr>
        <w:t>Improved transport links between Bristol and London</w:t>
      </w:r>
    </w:p>
    <w:p w14:paraId="74D1451D" w14:textId="77777777" w:rsidR="00C72A9E" w:rsidRPr="00992EF8" w:rsidRDefault="00C72A9E" w:rsidP="00C72A9E">
      <w:pPr>
        <w:pStyle w:val="ListParagraph"/>
        <w:numPr>
          <w:ilvl w:val="0"/>
          <w:numId w:val="10"/>
        </w:numPr>
        <w:tabs>
          <w:tab w:val="left" w:pos="1547"/>
        </w:tabs>
        <w:rPr>
          <w:rFonts w:asciiTheme="majorHAnsi" w:hAnsiTheme="majorHAnsi"/>
          <w:sz w:val="22"/>
          <w:szCs w:val="22"/>
        </w:rPr>
      </w:pPr>
      <w:r w:rsidRPr="00992EF8">
        <w:rPr>
          <w:rFonts w:asciiTheme="majorHAnsi" w:hAnsiTheme="majorHAnsi"/>
          <w:sz w:val="22"/>
          <w:szCs w:val="22"/>
        </w:rPr>
        <w:t>Extension and development plans for Bristol Airport</w:t>
      </w:r>
    </w:p>
    <w:p w14:paraId="1B555CA1" w14:textId="77777777" w:rsidR="00C72A9E" w:rsidRPr="00992EF8" w:rsidRDefault="00C72A9E" w:rsidP="00C72A9E">
      <w:pPr>
        <w:pStyle w:val="ListParagraph"/>
        <w:numPr>
          <w:ilvl w:val="0"/>
          <w:numId w:val="10"/>
        </w:numPr>
        <w:rPr>
          <w:rFonts w:asciiTheme="majorHAnsi" w:hAnsiTheme="majorHAnsi"/>
          <w:sz w:val="22"/>
          <w:szCs w:val="22"/>
        </w:rPr>
      </w:pPr>
      <w:r w:rsidRPr="00992EF8">
        <w:rPr>
          <w:rFonts w:asciiTheme="majorHAnsi" w:hAnsiTheme="majorHAnsi"/>
          <w:sz w:val="22"/>
          <w:szCs w:val="22"/>
        </w:rPr>
        <w:t>The relative price discount in Bristol compared to London</w:t>
      </w:r>
    </w:p>
    <w:p w14:paraId="34CF3FF7" w14:textId="77777777" w:rsidR="00C72A9E" w:rsidRPr="00992EF8" w:rsidRDefault="00C72A9E" w:rsidP="00C72A9E">
      <w:pPr>
        <w:pStyle w:val="ListParagraph"/>
        <w:numPr>
          <w:ilvl w:val="0"/>
          <w:numId w:val="10"/>
        </w:numPr>
        <w:rPr>
          <w:rFonts w:asciiTheme="majorHAnsi" w:hAnsiTheme="majorHAnsi"/>
          <w:sz w:val="22"/>
          <w:szCs w:val="22"/>
        </w:rPr>
      </w:pPr>
      <w:r w:rsidRPr="00992EF8">
        <w:rPr>
          <w:rFonts w:asciiTheme="majorHAnsi" w:hAnsiTheme="majorHAnsi"/>
          <w:sz w:val="22"/>
          <w:szCs w:val="22"/>
        </w:rPr>
        <w:t>A well-established and growing industrial hub for aerospace engineering, microelectronics, digital and tech.</w:t>
      </w:r>
    </w:p>
    <w:p w14:paraId="0DD5B868" w14:textId="77777777" w:rsidR="00C72A9E" w:rsidRPr="00992EF8" w:rsidRDefault="00C72A9E" w:rsidP="00C72A9E">
      <w:pPr>
        <w:rPr>
          <w:rFonts w:asciiTheme="majorHAnsi" w:hAnsiTheme="majorHAnsi"/>
          <w:sz w:val="22"/>
          <w:szCs w:val="22"/>
        </w:rPr>
      </w:pPr>
    </w:p>
    <w:p w14:paraId="5B1020CE" w14:textId="77777777" w:rsidR="00C72A9E" w:rsidRDefault="00C72A9E" w:rsidP="00C72A9E">
      <w:pPr>
        <w:rPr>
          <w:rFonts w:asciiTheme="majorHAnsi" w:hAnsiTheme="majorHAnsi"/>
          <w:sz w:val="22"/>
          <w:szCs w:val="22"/>
        </w:rPr>
      </w:pPr>
      <w:r w:rsidRPr="00992EF8">
        <w:rPr>
          <w:rFonts w:asciiTheme="majorHAnsi" w:hAnsiTheme="majorHAnsi"/>
          <w:sz w:val="22"/>
          <w:szCs w:val="22"/>
        </w:rPr>
        <w:t>We therefore believe that clients with properties in the Bristol area are likely to see rental income growth in line with inflation (RPI). Rental income growth for clients with properties outside of the Bristol area will be evaluated on a case-by-case basis.</w:t>
      </w:r>
    </w:p>
    <w:p w14:paraId="77BC6344" w14:textId="11392630" w:rsidR="00C72A9E" w:rsidRDefault="00C72A9E">
      <w:pPr>
        <w:rPr>
          <w:rFonts w:asciiTheme="majorHAnsi" w:hAnsiTheme="majorHAnsi"/>
          <w:sz w:val="22"/>
          <w:szCs w:val="22"/>
        </w:rPr>
      </w:pPr>
      <w:r>
        <w:rPr>
          <w:rFonts w:asciiTheme="majorHAnsi" w:hAnsiTheme="majorHAnsi"/>
          <w:sz w:val="22"/>
          <w:szCs w:val="22"/>
        </w:rPr>
        <w:br w:type="page"/>
      </w:r>
    </w:p>
    <w:p w14:paraId="75AA52A0" w14:textId="77777777" w:rsidR="00C72A9E" w:rsidRPr="00992EF8" w:rsidRDefault="00C72A9E" w:rsidP="00C72A9E">
      <w:pPr>
        <w:pStyle w:val="Heading2"/>
        <w:numPr>
          <w:ilvl w:val="0"/>
          <w:numId w:val="18"/>
        </w:numPr>
      </w:pPr>
      <w:bookmarkStart w:id="11" w:name="_Toc394484445"/>
      <w:r w:rsidRPr="00992EF8">
        <w:lastRenderedPageBreak/>
        <w:t>Average Earnings</w:t>
      </w:r>
      <w:bookmarkEnd w:id="11"/>
    </w:p>
    <w:p w14:paraId="2230C1A2" w14:textId="77777777" w:rsidR="00C72A9E" w:rsidRPr="00992EF8" w:rsidRDefault="00C72A9E" w:rsidP="00C72A9E">
      <w:pPr>
        <w:rPr>
          <w:rFonts w:asciiTheme="majorHAnsi" w:hAnsiTheme="majorHAnsi"/>
          <w:sz w:val="22"/>
          <w:szCs w:val="22"/>
        </w:rPr>
      </w:pPr>
    </w:p>
    <w:p w14:paraId="438120EB"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Data from ONS (2018b) shows that Average Earnings over the past 20 years has been 2.8%:</w:t>
      </w:r>
    </w:p>
    <w:p w14:paraId="4BD8B2A2" w14:textId="77777777" w:rsidR="00C72A9E" w:rsidRPr="00992EF8" w:rsidRDefault="00C72A9E" w:rsidP="00C72A9E">
      <w:pPr>
        <w:rPr>
          <w:rFonts w:asciiTheme="majorHAnsi" w:hAnsiTheme="majorHAnsi"/>
          <w:sz w:val="22"/>
          <w:szCs w:val="22"/>
        </w:rPr>
      </w:pPr>
    </w:p>
    <w:p w14:paraId="5349D3D5"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74665CFD" wp14:editId="160A3B5E">
            <wp:extent cx="5261610" cy="2915285"/>
            <wp:effectExtent l="0" t="0" r="0" b="5715"/>
            <wp:docPr id="18" name="Picture 18" descr="Macintosh HD:Users:christopherhindle:Dropbox:Screenshots:Screenshot 2018-07-28 21.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ristopherhindle:Dropbox:Screenshots:Screenshot 2018-07-28 21.05.4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1610" cy="2915285"/>
                    </a:xfrm>
                    <a:prstGeom prst="rect">
                      <a:avLst/>
                    </a:prstGeom>
                    <a:noFill/>
                    <a:ln>
                      <a:noFill/>
                    </a:ln>
                  </pic:spPr>
                </pic:pic>
              </a:graphicData>
            </a:graphic>
          </wp:inline>
        </w:drawing>
      </w:r>
    </w:p>
    <w:p w14:paraId="52506A32" w14:textId="77777777" w:rsidR="00C72A9E" w:rsidRPr="00992EF8" w:rsidRDefault="00C72A9E" w:rsidP="00C72A9E">
      <w:pPr>
        <w:rPr>
          <w:rFonts w:asciiTheme="majorHAnsi" w:hAnsiTheme="majorHAnsi"/>
          <w:sz w:val="22"/>
          <w:szCs w:val="22"/>
        </w:rPr>
      </w:pPr>
    </w:p>
    <w:p w14:paraId="7206D581"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 xml:space="preserve">In the last five years, earnings growth has been weaker than </w:t>
      </w:r>
      <w:proofErr w:type="spellStart"/>
      <w:r w:rsidRPr="00992EF8">
        <w:rPr>
          <w:rFonts w:asciiTheme="majorHAnsi" w:hAnsiTheme="majorHAnsi"/>
          <w:sz w:val="22"/>
          <w:szCs w:val="22"/>
        </w:rPr>
        <w:t>than</w:t>
      </w:r>
      <w:proofErr w:type="spellEnd"/>
      <w:r w:rsidRPr="00992EF8">
        <w:rPr>
          <w:rFonts w:asciiTheme="majorHAnsi" w:hAnsiTheme="majorHAnsi"/>
          <w:sz w:val="22"/>
          <w:szCs w:val="22"/>
        </w:rPr>
        <w:t xml:space="preserve"> the pre-crisis average growth of 4%. </w:t>
      </w:r>
    </w:p>
    <w:p w14:paraId="0B39B1CC" w14:textId="77777777" w:rsidR="00C72A9E" w:rsidRPr="00992EF8" w:rsidRDefault="00C72A9E" w:rsidP="00C72A9E">
      <w:pPr>
        <w:rPr>
          <w:rFonts w:asciiTheme="majorHAnsi" w:hAnsiTheme="majorHAnsi"/>
          <w:sz w:val="22"/>
          <w:szCs w:val="22"/>
        </w:rPr>
      </w:pPr>
    </w:p>
    <w:p w14:paraId="3F66A35F" w14:textId="77777777" w:rsidR="00C72A9E" w:rsidRPr="00992EF8" w:rsidRDefault="00C72A9E" w:rsidP="00C72A9E">
      <w:pPr>
        <w:rPr>
          <w:rFonts w:asciiTheme="majorHAnsi" w:hAnsiTheme="majorHAnsi"/>
          <w:sz w:val="22"/>
          <w:szCs w:val="22"/>
        </w:rPr>
      </w:pPr>
      <w:r w:rsidRPr="00992EF8">
        <w:rPr>
          <w:rFonts w:asciiTheme="majorHAnsi" w:hAnsiTheme="majorHAnsi"/>
          <w:noProof/>
          <w:sz w:val="22"/>
          <w:szCs w:val="22"/>
          <w:lang w:val="en-US"/>
        </w:rPr>
        <w:drawing>
          <wp:inline distT="0" distB="0" distL="0" distR="0" wp14:anchorId="21943687" wp14:editId="4DFCA76B">
            <wp:extent cx="5261610" cy="2915285"/>
            <wp:effectExtent l="0" t="0" r="0" b="5715"/>
            <wp:docPr id="19" name="Picture 19" descr="Macintosh HD:Users:christopherhindle:Dropbox:Screenshots:Screenshot 2018-07-28 21.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topherhindle:Dropbox:Screenshots:Screenshot 2018-07-28 21.08.2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1610" cy="2915285"/>
                    </a:xfrm>
                    <a:prstGeom prst="rect">
                      <a:avLst/>
                    </a:prstGeom>
                    <a:noFill/>
                    <a:ln>
                      <a:noFill/>
                    </a:ln>
                  </pic:spPr>
                </pic:pic>
              </a:graphicData>
            </a:graphic>
          </wp:inline>
        </w:drawing>
      </w:r>
    </w:p>
    <w:p w14:paraId="5F963932" w14:textId="77777777" w:rsidR="00C72A9E" w:rsidRPr="00992EF8" w:rsidRDefault="00C72A9E" w:rsidP="00C72A9E">
      <w:pPr>
        <w:rPr>
          <w:rFonts w:asciiTheme="majorHAnsi" w:hAnsiTheme="majorHAnsi"/>
          <w:sz w:val="22"/>
          <w:szCs w:val="22"/>
        </w:rPr>
      </w:pPr>
    </w:p>
    <w:p w14:paraId="211D0A28"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With the current unemployment rate very low (4.7%), the absence of wage inflation points to a lower long-run unemployment rate. The Bank of England has recently estimated that the long-run unemployment rate has decreased from 5% to 4.5%. This and the current unemployment rate suggest that there is little slack in the labour market.</w:t>
      </w:r>
    </w:p>
    <w:p w14:paraId="721B75F2" w14:textId="77777777" w:rsidR="00C72A9E" w:rsidRPr="00992EF8" w:rsidRDefault="00C72A9E" w:rsidP="00C72A9E">
      <w:pPr>
        <w:rPr>
          <w:rFonts w:asciiTheme="majorHAnsi" w:hAnsiTheme="majorHAnsi"/>
          <w:sz w:val="22"/>
          <w:szCs w:val="22"/>
        </w:rPr>
      </w:pPr>
    </w:p>
    <w:p w14:paraId="2288C7D1" w14:textId="77777777" w:rsidR="00C72A9E" w:rsidRPr="00992EF8" w:rsidRDefault="00C72A9E" w:rsidP="00C72A9E">
      <w:pPr>
        <w:rPr>
          <w:rFonts w:asciiTheme="majorHAnsi" w:hAnsiTheme="majorHAnsi"/>
          <w:sz w:val="22"/>
          <w:szCs w:val="22"/>
        </w:rPr>
      </w:pPr>
      <w:r w:rsidRPr="00992EF8">
        <w:rPr>
          <w:rFonts w:asciiTheme="majorHAnsi" w:hAnsiTheme="majorHAnsi"/>
          <w:sz w:val="22"/>
          <w:szCs w:val="22"/>
        </w:rPr>
        <w:t>As this slack is absorbed, earnings growth is estimated to pick up. We expect long-run earnings to be around 4.25%. However, we recommend a lower average earnings growth estimate of 3.75% for the next 10-15 years due to anticipated lower earnings growth in the short term (FCA, 2017).</w:t>
      </w:r>
    </w:p>
    <w:p w14:paraId="587AAF77" w14:textId="77777777" w:rsidR="00C72A9E" w:rsidRPr="00992EF8" w:rsidRDefault="00C72A9E" w:rsidP="00C72A9E">
      <w:pPr>
        <w:rPr>
          <w:rFonts w:asciiTheme="majorHAnsi" w:hAnsiTheme="majorHAnsi"/>
          <w:sz w:val="22"/>
          <w:szCs w:val="22"/>
        </w:rPr>
      </w:pPr>
    </w:p>
    <w:p w14:paraId="62FC4B08" w14:textId="77777777" w:rsidR="007F44A9" w:rsidRPr="00992EF8" w:rsidRDefault="007F44A9">
      <w:pPr>
        <w:rPr>
          <w:rFonts w:asciiTheme="majorHAnsi" w:hAnsiTheme="majorHAnsi"/>
          <w:sz w:val="22"/>
          <w:szCs w:val="22"/>
        </w:rPr>
        <w:sectPr w:rsidR="007F44A9" w:rsidRPr="00992EF8" w:rsidSect="00C72A9E">
          <w:pgSz w:w="11900" w:h="16840"/>
          <w:pgMar w:top="1191" w:right="1800" w:bottom="1191" w:left="1800" w:header="708" w:footer="708" w:gutter="0"/>
          <w:cols w:space="708"/>
          <w:titlePg/>
          <w:docGrid w:linePitch="360"/>
        </w:sectPr>
      </w:pPr>
    </w:p>
    <w:p w14:paraId="01238E2A" w14:textId="743AB2DB" w:rsidR="007F44A9" w:rsidRPr="00992EF8" w:rsidRDefault="007F44A9" w:rsidP="002D7D81">
      <w:pPr>
        <w:pStyle w:val="Heading2"/>
        <w:numPr>
          <w:ilvl w:val="0"/>
          <w:numId w:val="18"/>
        </w:numPr>
      </w:pPr>
      <w:bookmarkStart w:id="12" w:name="_Toc394484446"/>
      <w:r w:rsidRPr="00992EF8">
        <w:lastRenderedPageBreak/>
        <w:t xml:space="preserve">Tax </w:t>
      </w:r>
      <w:r w:rsidR="00992EF8" w:rsidRPr="00992EF8">
        <w:t>Allowances (Core)</w:t>
      </w:r>
      <w:bookmarkEnd w:id="12"/>
    </w:p>
    <w:p w14:paraId="4C118406" w14:textId="77777777" w:rsidR="007F44A9" w:rsidRPr="00992EF8" w:rsidRDefault="007F44A9" w:rsidP="007F44A9">
      <w:pPr>
        <w:rPr>
          <w:rFonts w:asciiTheme="majorHAnsi" w:hAnsiTheme="majorHAnsi"/>
        </w:rPr>
      </w:pPr>
    </w:p>
    <w:p w14:paraId="5702BECF" w14:textId="77777777" w:rsidR="007F44A9" w:rsidRPr="00992EF8" w:rsidRDefault="007F44A9" w:rsidP="007F44A9">
      <w:pPr>
        <w:rPr>
          <w:rFonts w:asciiTheme="majorHAnsi" w:hAnsiTheme="majorHAnsi"/>
        </w:rPr>
      </w:pPr>
      <w:r w:rsidRPr="00992EF8">
        <w:rPr>
          <w:rFonts w:asciiTheme="majorHAnsi" w:hAnsiTheme="majorHAnsi"/>
        </w:rPr>
        <w:t xml:space="preserve">The ‘tax table assumptions’ used in </w:t>
      </w:r>
      <w:proofErr w:type="spellStart"/>
      <w:r w:rsidRPr="00992EF8">
        <w:rPr>
          <w:rFonts w:asciiTheme="majorHAnsi" w:hAnsiTheme="majorHAnsi"/>
        </w:rPr>
        <w:t>Voyant</w:t>
      </w:r>
      <w:proofErr w:type="spellEnd"/>
      <w:r w:rsidRPr="00992EF8">
        <w:rPr>
          <w:rFonts w:asciiTheme="majorHAnsi" w:hAnsiTheme="majorHAnsi"/>
        </w:rPr>
        <w:t xml:space="preserve"> determines the increase applied to:</w:t>
      </w:r>
    </w:p>
    <w:p w14:paraId="1F5EEE55" w14:textId="77777777" w:rsidR="007F44A9" w:rsidRPr="00992EF8" w:rsidRDefault="007F44A9" w:rsidP="007F44A9">
      <w:pPr>
        <w:rPr>
          <w:rFonts w:asciiTheme="majorHAnsi" w:hAnsiTheme="majorHAnsi"/>
        </w:rPr>
      </w:pPr>
    </w:p>
    <w:p w14:paraId="3C22C498"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Personal Allowance Tax Allowance</w:t>
      </w:r>
    </w:p>
    <w:p w14:paraId="1CDCD5A9"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Basic Rate Tax Band</w:t>
      </w:r>
    </w:p>
    <w:p w14:paraId="5EFD7116"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Higher Rate Tax Band</w:t>
      </w:r>
    </w:p>
    <w:p w14:paraId="3BE837C7"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Additional Rate Tax Band</w:t>
      </w:r>
    </w:p>
    <w:p w14:paraId="56B09E84"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Annual Income Threshold (phasing out of personal allowance)</w:t>
      </w:r>
    </w:p>
    <w:p w14:paraId="50BE03E5"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Annual income threshold (for tapering pension contribution allowance)</w:t>
      </w:r>
    </w:p>
    <w:p w14:paraId="24A84F25"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‘No-earnings’ pension contribution allowance</w:t>
      </w:r>
    </w:p>
    <w:p w14:paraId="67F107F2"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Capital Gains Tax Allowance</w:t>
      </w:r>
    </w:p>
    <w:p w14:paraId="24CAB006" w14:textId="77777777" w:rsidR="00C72A9E" w:rsidRPr="00992EF8" w:rsidRDefault="00C72A9E" w:rsidP="007F44A9">
      <w:pPr>
        <w:pStyle w:val="ListParagraph"/>
        <w:numPr>
          <w:ilvl w:val="0"/>
          <w:numId w:val="11"/>
        </w:numPr>
        <w:rPr>
          <w:rFonts w:asciiTheme="majorHAnsi" w:hAnsiTheme="majorHAnsi"/>
          <w:sz w:val="20"/>
          <w:szCs w:val="20"/>
        </w:rPr>
      </w:pPr>
      <w:r w:rsidRPr="00992EF8">
        <w:rPr>
          <w:rFonts w:asciiTheme="majorHAnsi" w:hAnsiTheme="majorHAnsi"/>
          <w:sz w:val="20"/>
          <w:szCs w:val="20"/>
        </w:rPr>
        <w:t>ISA Contribution Allowance</w:t>
      </w:r>
    </w:p>
    <w:p w14:paraId="649050BE" w14:textId="77777777" w:rsidR="007F44A9" w:rsidRPr="00992EF8" w:rsidRDefault="007F44A9" w:rsidP="007F44A9">
      <w:pPr>
        <w:rPr>
          <w:rFonts w:asciiTheme="majorHAnsi" w:hAnsiTheme="majorHAnsi"/>
        </w:rPr>
      </w:pPr>
    </w:p>
    <w:p w14:paraId="65162F74" w14:textId="77777777" w:rsidR="00F63DD3" w:rsidRPr="00992EF8" w:rsidRDefault="007F44A9" w:rsidP="007F44A9">
      <w:pPr>
        <w:rPr>
          <w:rFonts w:asciiTheme="majorHAnsi" w:hAnsiTheme="majorHAnsi"/>
        </w:rPr>
      </w:pPr>
      <w:r w:rsidRPr="00992EF8">
        <w:rPr>
          <w:rFonts w:asciiTheme="majorHAnsi" w:hAnsiTheme="majorHAnsi"/>
        </w:rPr>
        <w:t xml:space="preserve">It is not possible to specify individual rates of increase for each of the above tax allowances. </w:t>
      </w:r>
    </w:p>
    <w:p w14:paraId="4432CC27" w14:textId="77777777" w:rsidR="00F63DD3" w:rsidRPr="00992EF8" w:rsidRDefault="00F63DD3" w:rsidP="007F44A9">
      <w:pPr>
        <w:rPr>
          <w:rFonts w:asciiTheme="majorHAnsi" w:hAnsiTheme="majorHAnsi"/>
        </w:rPr>
      </w:pPr>
    </w:p>
    <w:p w14:paraId="0F767B38" w14:textId="00A93275" w:rsidR="007F44A9" w:rsidRPr="00992EF8" w:rsidRDefault="007F44A9" w:rsidP="007F44A9">
      <w:pPr>
        <w:rPr>
          <w:rFonts w:asciiTheme="majorHAnsi" w:hAnsiTheme="majorHAnsi"/>
        </w:rPr>
      </w:pPr>
      <w:r w:rsidRPr="00992EF8">
        <w:rPr>
          <w:rFonts w:asciiTheme="majorHAnsi" w:hAnsiTheme="majorHAnsi"/>
        </w:rPr>
        <w:t xml:space="preserve">Analysis of past allowances shows that </w:t>
      </w:r>
      <w:r w:rsidR="00F63DD3" w:rsidRPr="00992EF8">
        <w:rPr>
          <w:rFonts w:asciiTheme="majorHAnsi" w:hAnsiTheme="majorHAnsi"/>
        </w:rPr>
        <w:t>allowances change at different rates:</w:t>
      </w:r>
    </w:p>
    <w:p w14:paraId="4F61BFED" w14:textId="77777777" w:rsidR="007F44A9" w:rsidRPr="00992EF8" w:rsidRDefault="007F44A9" w:rsidP="007F44A9">
      <w:pPr>
        <w:rPr>
          <w:rFonts w:asciiTheme="majorHAnsi" w:hAnsiTheme="majorHAnsi"/>
        </w:rPr>
      </w:pPr>
    </w:p>
    <w:tbl>
      <w:tblPr>
        <w:tblW w:w="5000" w:type="pct"/>
        <w:tblLook w:val="04A0" w:firstRow="1" w:lastRow="0" w:firstColumn="1" w:lastColumn="0" w:noHBand="0" w:noVBand="1"/>
      </w:tblPr>
      <w:tblGrid>
        <w:gridCol w:w="3537"/>
        <w:gridCol w:w="1071"/>
        <w:gridCol w:w="1072"/>
        <w:gridCol w:w="1072"/>
        <w:gridCol w:w="1072"/>
        <w:gridCol w:w="1072"/>
        <w:gridCol w:w="1072"/>
        <w:gridCol w:w="1072"/>
        <w:gridCol w:w="1072"/>
        <w:gridCol w:w="1072"/>
        <w:gridCol w:w="992"/>
      </w:tblGrid>
      <w:tr w:rsidR="007F44A9" w:rsidRPr="00992EF8" w14:paraId="4222CA1A" w14:textId="77777777" w:rsidTr="007F44A9">
        <w:trPr>
          <w:trHeight w:val="340"/>
        </w:trPr>
        <w:tc>
          <w:tcPr>
            <w:tcW w:w="1248" w:type="pct"/>
            <w:tcBorders>
              <w:top w:val="nil"/>
              <w:left w:val="nil"/>
              <w:bottom w:val="nil"/>
              <w:right w:val="nil"/>
            </w:tcBorders>
            <w:shd w:val="clear" w:color="auto" w:fill="auto"/>
            <w:noWrap/>
            <w:vAlign w:val="bottom"/>
            <w:hideMark/>
          </w:tcPr>
          <w:p w14:paraId="2FAC1AF4" w14:textId="77777777" w:rsidR="007F44A9" w:rsidRPr="00992EF8" w:rsidRDefault="007F44A9" w:rsidP="007F44A9">
            <w:pPr>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Increase Tax Allowances</w:t>
            </w:r>
          </w:p>
        </w:tc>
        <w:tc>
          <w:tcPr>
            <w:tcW w:w="378" w:type="pct"/>
            <w:tcBorders>
              <w:top w:val="nil"/>
              <w:left w:val="nil"/>
              <w:bottom w:val="nil"/>
              <w:right w:val="nil"/>
            </w:tcBorders>
            <w:shd w:val="clear" w:color="auto" w:fill="auto"/>
            <w:noWrap/>
            <w:vAlign w:val="bottom"/>
            <w:hideMark/>
          </w:tcPr>
          <w:p w14:paraId="7892DF2D" w14:textId="11216399"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2010/11</w:t>
            </w:r>
          </w:p>
        </w:tc>
        <w:tc>
          <w:tcPr>
            <w:tcW w:w="378" w:type="pct"/>
            <w:tcBorders>
              <w:top w:val="nil"/>
              <w:left w:val="nil"/>
              <w:bottom w:val="nil"/>
              <w:right w:val="nil"/>
            </w:tcBorders>
            <w:shd w:val="clear" w:color="auto" w:fill="auto"/>
            <w:noWrap/>
            <w:vAlign w:val="bottom"/>
            <w:hideMark/>
          </w:tcPr>
          <w:p w14:paraId="3588A7B3" w14:textId="48F69EF3"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2011/12</w:t>
            </w:r>
          </w:p>
        </w:tc>
        <w:tc>
          <w:tcPr>
            <w:tcW w:w="378" w:type="pct"/>
            <w:tcBorders>
              <w:top w:val="nil"/>
              <w:left w:val="nil"/>
              <w:bottom w:val="nil"/>
              <w:right w:val="nil"/>
            </w:tcBorders>
            <w:shd w:val="clear" w:color="auto" w:fill="auto"/>
            <w:noWrap/>
            <w:vAlign w:val="bottom"/>
            <w:hideMark/>
          </w:tcPr>
          <w:p w14:paraId="56965CA9" w14:textId="383CBD39"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2012/13</w:t>
            </w:r>
          </w:p>
        </w:tc>
        <w:tc>
          <w:tcPr>
            <w:tcW w:w="378" w:type="pct"/>
            <w:tcBorders>
              <w:top w:val="nil"/>
              <w:left w:val="nil"/>
              <w:bottom w:val="nil"/>
              <w:right w:val="nil"/>
            </w:tcBorders>
            <w:shd w:val="clear" w:color="auto" w:fill="auto"/>
            <w:noWrap/>
            <w:vAlign w:val="bottom"/>
            <w:hideMark/>
          </w:tcPr>
          <w:p w14:paraId="616DA90B" w14:textId="0D341198"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2013/14</w:t>
            </w:r>
          </w:p>
        </w:tc>
        <w:tc>
          <w:tcPr>
            <w:tcW w:w="378" w:type="pct"/>
            <w:tcBorders>
              <w:top w:val="nil"/>
              <w:left w:val="nil"/>
              <w:bottom w:val="nil"/>
              <w:right w:val="nil"/>
            </w:tcBorders>
            <w:shd w:val="clear" w:color="auto" w:fill="auto"/>
            <w:noWrap/>
            <w:vAlign w:val="bottom"/>
            <w:hideMark/>
          </w:tcPr>
          <w:p w14:paraId="46FAE92E" w14:textId="2193BE8D"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2014/15</w:t>
            </w:r>
          </w:p>
        </w:tc>
        <w:tc>
          <w:tcPr>
            <w:tcW w:w="378" w:type="pct"/>
            <w:tcBorders>
              <w:top w:val="nil"/>
              <w:left w:val="nil"/>
              <w:bottom w:val="nil"/>
              <w:right w:val="nil"/>
            </w:tcBorders>
            <w:shd w:val="clear" w:color="auto" w:fill="auto"/>
            <w:noWrap/>
            <w:vAlign w:val="bottom"/>
            <w:hideMark/>
          </w:tcPr>
          <w:p w14:paraId="22D06FEA" w14:textId="3C01E1E4"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2015/16</w:t>
            </w:r>
          </w:p>
        </w:tc>
        <w:tc>
          <w:tcPr>
            <w:tcW w:w="378" w:type="pct"/>
            <w:tcBorders>
              <w:top w:val="nil"/>
              <w:left w:val="nil"/>
              <w:bottom w:val="nil"/>
              <w:right w:val="nil"/>
            </w:tcBorders>
            <w:shd w:val="clear" w:color="auto" w:fill="auto"/>
            <w:noWrap/>
            <w:vAlign w:val="bottom"/>
            <w:hideMark/>
          </w:tcPr>
          <w:p w14:paraId="3162348F" w14:textId="2F43CA49"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2016/17</w:t>
            </w:r>
          </w:p>
        </w:tc>
        <w:tc>
          <w:tcPr>
            <w:tcW w:w="378" w:type="pct"/>
            <w:tcBorders>
              <w:top w:val="nil"/>
              <w:left w:val="nil"/>
              <w:bottom w:val="nil"/>
              <w:right w:val="nil"/>
            </w:tcBorders>
            <w:shd w:val="clear" w:color="auto" w:fill="auto"/>
            <w:noWrap/>
            <w:vAlign w:val="bottom"/>
            <w:hideMark/>
          </w:tcPr>
          <w:p w14:paraId="1F870F8B" w14:textId="56B41FEB"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2017/18</w:t>
            </w:r>
          </w:p>
        </w:tc>
        <w:tc>
          <w:tcPr>
            <w:tcW w:w="378" w:type="pct"/>
            <w:tcBorders>
              <w:top w:val="nil"/>
              <w:left w:val="nil"/>
              <w:bottom w:val="nil"/>
              <w:right w:val="nil"/>
            </w:tcBorders>
            <w:shd w:val="clear" w:color="auto" w:fill="auto"/>
            <w:noWrap/>
            <w:vAlign w:val="bottom"/>
            <w:hideMark/>
          </w:tcPr>
          <w:p w14:paraId="1B6C06D0" w14:textId="57396C90"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2018/19</w:t>
            </w:r>
          </w:p>
        </w:tc>
        <w:tc>
          <w:tcPr>
            <w:tcW w:w="352" w:type="pct"/>
            <w:tcBorders>
              <w:top w:val="nil"/>
              <w:left w:val="nil"/>
              <w:bottom w:val="nil"/>
              <w:right w:val="nil"/>
            </w:tcBorders>
            <w:shd w:val="clear" w:color="auto" w:fill="auto"/>
            <w:noWrap/>
            <w:vAlign w:val="bottom"/>
            <w:hideMark/>
          </w:tcPr>
          <w:p w14:paraId="1A4E1FB3" w14:textId="6A4E7EF9" w:rsidR="007F44A9" w:rsidRPr="00992EF8" w:rsidRDefault="007F44A9" w:rsidP="007F44A9">
            <w:pPr>
              <w:jc w:val="right"/>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Average</w:t>
            </w:r>
          </w:p>
        </w:tc>
      </w:tr>
      <w:tr w:rsidR="007F44A9" w:rsidRPr="00992EF8" w14:paraId="598A4FED" w14:textId="77777777" w:rsidTr="007F44A9">
        <w:trPr>
          <w:trHeight w:val="260"/>
        </w:trPr>
        <w:tc>
          <w:tcPr>
            <w:tcW w:w="1248" w:type="pct"/>
            <w:tcBorders>
              <w:top w:val="nil"/>
              <w:left w:val="nil"/>
              <w:bottom w:val="nil"/>
              <w:right w:val="nil"/>
            </w:tcBorders>
            <w:shd w:val="clear" w:color="auto" w:fill="auto"/>
            <w:noWrap/>
            <w:vAlign w:val="bottom"/>
            <w:hideMark/>
          </w:tcPr>
          <w:p w14:paraId="4BB02A80" w14:textId="77777777" w:rsidR="007F44A9" w:rsidRPr="00992EF8" w:rsidRDefault="007F44A9" w:rsidP="007F44A9">
            <w:pPr>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Personal Allowance (1)</w:t>
            </w:r>
          </w:p>
        </w:tc>
        <w:tc>
          <w:tcPr>
            <w:tcW w:w="378" w:type="pct"/>
            <w:tcBorders>
              <w:top w:val="nil"/>
              <w:left w:val="nil"/>
              <w:bottom w:val="nil"/>
              <w:right w:val="nil"/>
            </w:tcBorders>
            <w:shd w:val="clear" w:color="auto" w:fill="auto"/>
            <w:noWrap/>
            <w:vAlign w:val="bottom"/>
            <w:hideMark/>
          </w:tcPr>
          <w:p w14:paraId="405B4F49"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£6,475</w:t>
            </w:r>
          </w:p>
        </w:tc>
        <w:tc>
          <w:tcPr>
            <w:tcW w:w="378" w:type="pct"/>
            <w:tcBorders>
              <w:top w:val="nil"/>
              <w:left w:val="nil"/>
              <w:bottom w:val="nil"/>
              <w:right w:val="nil"/>
            </w:tcBorders>
            <w:shd w:val="clear" w:color="auto" w:fill="auto"/>
            <w:noWrap/>
            <w:vAlign w:val="bottom"/>
            <w:hideMark/>
          </w:tcPr>
          <w:p w14:paraId="09FD74BF"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£7,475</w:t>
            </w:r>
          </w:p>
        </w:tc>
        <w:tc>
          <w:tcPr>
            <w:tcW w:w="378" w:type="pct"/>
            <w:tcBorders>
              <w:top w:val="nil"/>
              <w:left w:val="nil"/>
              <w:bottom w:val="nil"/>
              <w:right w:val="nil"/>
            </w:tcBorders>
            <w:shd w:val="clear" w:color="auto" w:fill="auto"/>
            <w:noWrap/>
            <w:vAlign w:val="bottom"/>
            <w:hideMark/>
          </w:tcPr>
          <w:p w14:paraId="5B7472F7"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£8,105</w:t>
            </w:r>
          </w:p>
        </w:tc>
        <w:tc>
          <w:tcPr>
            <w:tcW w:w="378" w:type="pct"/>
            <w:tcBorders>
              <w:top w:val="nil"/>
              <w:left w:val="nil"/>
              <w:bottom w:val="nil"/>
              <w:right w:val="nil"/>
            </w:tcBorders>
            <w:shd w:val="clear" w:color="auto" w:fill="auto"/>
            <w:noWrap/>
            <w:vAlign w:val="bottom"/>
            <w:hideMark/>
          </w:tcPr>
          <w:p w14:paraId="1D6B54AF"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£9,440</w:t>
            </w:r>
          </w:p>
        </w:tc>
        <w:tc>
          <w:tcPr>
            <w:tcW w:w="378" w:type="pct"/>
            <w:tcBorders>
              <w:top w:val="nil"/>
              <w:left w:val="nil"/>
              <w:bottom w:val="nil"/>
              <w:right w:val="nil"/>
            </w:tcBorders>
            <w:shd w:val="clear" w:color="auto" w:fill="auto"/>
            <w:noWrap/>
            <w:vAlign w:val="bottom"/>
            <w:hideMark/>
          </w:tcPr>
          <w:p w14:paraId="399C8714"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w:t>
            </w:r>
          </w:p>
        </w:tc>
        <w:tc>
          <w:tcPr>
            <w:tcW w:w="378" w:type="pct"/>
            <w:tcBorders>
              <w:top w:val="nil"/>
              <w:left w:val="nil"/>
              <w:bottom w:val="nil"/>
              <w:right w:val="nil"/>
            </w:tcBorders>
            <w:shd w:val="clear" w:color="auto" w:fill="auto"/>
            <w:noWrap/>
            <w:vAlign w:val="bottom"/>
            <w:hideMark/>
          </w:tcPr>
          <w:p w14:paraId="44F6EB5F"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£10,600</w:t>
            </w:r>
          </w:p>
        </w:tc>
        <w:tc>
          <w:tcPr>
            <w:tcW w:w="378" w:type="pct"/>
            <w:tcBorders>
              <w:top w:val="nil"/>
              <w:left w:val="nil"/>
              <w:bottom w:val="nil"/>
              <w:right w:val="nil"/>
            </w:tcBorders>
            <w:shd w:val="clear" w:color="auto" w:fill="auto"/>
            <w:noWrap/>
            <w:vAlign w:val="bottom"/>
            <w:hideMark/>
          </w:tcPr>
          <w:p w14:paraId="4FB084EF"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£11,000</w:t>
            </w:r>
          </w:p>
        </w:tc>
        <w:tc>
          <w:tcPr>
            <w:tcW w:w="378" w:type="pct"/>
            <w:tcBorders>
              <w:top w:val="nil"/>
              <w:left w:val="nil"/>
              <w:bottom w:val="nil"/>
              <w:right w:val="nil"/>
            </w:tcBorders>
            <w:shd w:val="clear" w:color="auto" w:fill="auto"/>
            <w:noWrap/>
            <w:vAlign w:val="bottom"/>
            <w:hideMark/>
          </w:tcPr>
          <w:p w14:paraId="41E8B478"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£11,500</w:t>
            </w:r>
          </w:p>
        </w:tc>
        <w:tc>
          <w:tcPr>
            <w:tcW w:w="378" w:type="pct"/>
            <w:tcBorders>
              <w:top w:val="nil"/>
              <w:left w:val="nil"/>
              <w:bottom w:val="nil"/>
              <w:right w:val="nil"/>
            </w:tcBorders>
            <w:shd w:val="clear" w:color="auto" w:fill="auto"/>
            <w:noWrap/>
            <w:vAlign w:val="bottom"/>
            <w:hideMark/>
          </w:tcPr>
          <w:p w14:paraId="17602BCC"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£11,850</w:t>
            </w:r>
          </w:p>
        </w:tc>
        <w:tc>
          <w:tcPr>
            <w:tcW w:w="352" w:type="pct"/>
            <w:tcBorders>
              <w:top w:val="nil"/>
              <w:left w:val="nil"/>
              <w:bottom w:val="nil"/>
              <w:right w:val="nil"/>
            </w:tcBorders>
            <w:shd w:val="clear" w:color="auto" w:fill="auto"/>
            <w:noWrap/>
            <w:vAlign w:val="bottom"/>
            <w:hideMark/>
          </w:tcPr>
          <w:p w14:paraId="5F7D0088" w14:textId="77777777" w:rsidR="007F44A9" w:rsidRPr="00992EF8" w:rsidRDefault="007F44A9" w:rsidP="007F44A9">
            <w:pPr>
              <w:rPr>
                <w:rFonts w:asciiTheme="majorHAnsi" w:eastAsia="Times New Roman" w:hAnsiTheme="majorHAnsi" w:cs="Times New Roman"/>
                <w:color w:val="0B0C0C"/>
                <w:sz w:val="19"/>
                <w:szCs w:val="19"/>
              </w:rPr>
            </w:pPr>
          </w:p>
        </w:tc>
      </w:tr>
      <w:tr w:rsidR="007F44A9" w:rsidRPr="00992EF8" w14:paraId="63718D4F" w14:textId="77777777" w:rsidTr="007F44A9">
        <w:trPr>
          <w:trHeight w:val="260"/>
        </w:trPr>
        <w:tc>
          <w:tcPr>
            <w:tcW w:w="1248" w:type="pct"/>
            <w:tcBorders>
              <w:top w:val="nil"/>
              <w:left w:val="nil"/>
              <w:bottom w:val="nil"/>
              <w:right w:val="nil"/>
            </w:tcBorders>
            <w:shd w:val="clear" w:color="auto" w:fill="auto"/>
            <w:noWrap/>
            <w:vAlign w:val="bottom"/>
            <w:hideMark/>
          </w:tcPr>
          <w:p w14:paraId="2A290DDE" w14:textId="77777777" w:rsidR="007F44A9" w:rsidRPr="00992EF8" w:rsidRDefault="007F44A9" w:rsidP="007F44A9">
            <w:pPr>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Personal Allowance Increase</w:t>
            </w:r>
          </w:p>
        </w:tc>
        <w:tc>
          <w:tcPr>
            <w:tcW w:w="378" w:type="pct"/>
            <w:tcBorders>
              <w:top w:val="nil"/>
              <w:left w:val="nil"/>
              <w:bottom w:val="nil"/>
              <w:right w:val="nil"/>
            </w:tcBorders>
            <w:shd w:val="clear" w:color="auto" w:fill="auto"/>
            <w:noWrap/>
            <w:vAlign w:val="bottom"/>
            <w:hideMark/>
          </w:tcPr>
          <w:p w14:paraId="0405BE2A"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6B5D13C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15.44%</w:t>
            </w:r>
          </w:p>
        </w:tc>
        <w:tc>
          <w:tcPr>
            <w:tcW w:w="378" w:type="pct"/>
            <w:tcBorders>
              <w:top w:val="nil"/>
              <w:left w:val="nil"/>
              <w:bottom w:val="nil"/>
              <w:right w:val="nil"/>
            </w:tcBorders>
            <w:shd w:val="clear" w:color="auto" w:fill="auto"/>
            <w:noWrap/>
            <w:vAlign w:val="bottom"/>
            <w:hideMark/>
          </w:tcPr>
          <w:p w14:paraId="6CCD37F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8.43%</w:t>
            </w:r>
          </w:p>
        </w:tc>
        <w:tc>
          <w:tcPr>
            <w:tcW w:w="378" w:type="pct"/>
            <w:tcBorders>
              <w:top w:val="nil"/>
              <w:left w:val="nil"/>
              <w:bottom w:val="nil"/>
              <w:right w:val="nil"/>
            </w:tcBorders>
            <w:shd w:val="clear" w:color="auto" w:fill="auto"/>
            <w:noWrap/>
            <w:vAlign w:val="bottom"/>
            <w:hideMark/>
          </w:tcPr>
          <w:p w14:paraId="17E9349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16.47%</w:t>
            </w:r>
          </w:p>
        </w:tc>
        <w:tc>
          <w:tcPr>
            <w:tcW w:w="378" w:type="pct"/>
            <w:tcBorders>
              <w:top w:val="nil"/>
              <w:left w:val="nil"/>
              <w:bottom w:val="nil"/>
              <w:right w:val="nil"/>
            </w:tcBorders>
            <w:shd w:val="clear" w:color="auto" w:fill="auto"/>
            <w:noWrap/>
            <w:vAlign w:val="bottom"/>
            <w:hideMark/>
          </w:tcPr>
          <w:p w14:paraId="68930BF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5.93%</w:t>
            </w:r>
          </w:p>
        </w:tc>
        <w:tc>
          <w:tcPr>
            <w:tcW w:w="378" w:type="pct"/>
            <w:tcBorders>
              <w:top w:val="nil"/>
              <w:left w:val="nil"/>
              <w:bottom w:val="nil"/>
              <w:right w:val="nil"/>
            </w:tcBorders>
            <w:shd w:val="clear" w:color="auto" w:fill="auto"/>
            <w:noWrap/>
            <w:vAlign w:val="bottom"/>
            <w:hideMark/>
          </w:tcPr>
          <w:p w14:paraId="6C3F331C"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6.00%</w:t>
            </w:r>
          </w:p>
        </w:tc>
        <w:tc>
          <w:tcPr>
            <w:tcW w:w="378" w:type="pct"/>
            <w:tcBorders>
              <w:top w:val="nil"/>
              <w:left w:val="nil"/>
              <w:bottom w:val="nil"/>
              <w:right w:val="nil"/>
            </w:tcBorders>
            <w:shd w:val="clear" w:color="auto" w:fill="auto"/>
            <w:noWrap/>
            <w:vAlign w:val="bottom"/>
            <w:hideMark/>
          </w:tcPr>
          <w:p w14:paraId="4F98A95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3.77%</w:t>
            </w:r>
          </w:p>
        </w:tc>
        <w:tc>
          <w:tcPr>
            <w:tcW w:w="378" w:type="pct"/>
            <w:tcBorders>
              <w:top w:val="nil"/>
              <w:left w:val="nil"/>
              <w:bottom w:val="nil"/>
              <w:right w:val="nil"/>
            </w:tcBorders>
            <w:shd w:val="clear" w:color="auto" w:fill="auto"/>
            <w:noWrap/>
            <w:vAlign w:val="bottom"/>
            <w:hideMark/>
          </w:tcPr>
          <w:p w14:paraId="2EA5454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4.55%</w:t>
            </w:r>
          </w:p>
        </w:tc>
        <w:tc>
          <w:tcPr>
            <w:tcW w:w="378" w:type="pct"/>
            <w:tcBorders>
              <w:top w:val="nil"/>
              <w:left w:val="nil"/>
              <w:bottom w:val="nil"/>
              <w:right w:val="nil"/>
            </w:tcBorders>
            <w:shd w:val="clear" w:color="auto" w:fill="auto"/>
            <w:noWrap/>
            <w:vAlign w:val="bottom"/>
            <w:hideMark/>
          </w:tcPr>
          <w:p w14:paraId="1560548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3.04%</w:t>
            </w:r>
          </w:p>
        </w:tc>
        <w:tc>
          <w:tcPr>
            <w:tcW w:w="352" w:type="pct"/>
            <w:tcBorders>
              <w:top w:val="nil"/>
              <w:left w:val="nil"/>
              <w:bottom w:val="nil"/>
              <w:right w:val="nil"/>
            </w:tcBorders>
            <w:shd w:val="clear" w:color="auto" w:fill="auto"/>
            <w:noWrap/>
            <w:vAlign w:val="bottom"/>
            <w:hideMark/>
          </w:tcPr>
          <w:p w14:paraId="2B9738F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7.95%</w:t>
            </w:r>
          </w:p>
        </w:tc>
      </w:tr>
      <w:tr w:rsidR="007F44A9" w:rsidRPr="00992EF8" w14:paraId="45678AE5" w14:textId="77777777" w:rsidTr="007F44A9">
        <w:trPr>
          <w:trHeight w:val="260"/>
        </w:trPr>
        <w:tc>
          <w:tcPr>
            <w:tcW w:w="1248" w:type="pct"/>
            <w:tcBorders>
              <w:top w:val="nil"/>
              <w:left w:val="nil"/>
              <w:bottom w:val="nil"/>
              <w:right w:val="nil"/>
            </w:tcBorders>
            <w:shd w:val="clear" w:color="auto" w:fill="auto"/>
            <w:noWrap/>
            <w:vAlign w:val="bottom"/>
          </w:tcPr>
          <w:p w14:paraId="00CBF8ED"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2C19477C"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60D81A0A"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5D6BED9A"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108707C3"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27417D03"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1665A646"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54A87829"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5E16A797"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26283EDF"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52" w:type="pct"/>
            <w:tcBorders>
              <w:top w:val="nil"/>
              <w:left w:val="nil"/>
              <w:bottom w:val="nil"/>
              <w:right w:val="nil"/>
            </w:tcBorders>
            <w:shd w:val="clear" w:color="auto" w:fill="auto"/>
            <w:noWrap/>
            <w:vAlign w:val="bottom"/>
          </w:tcPr>
          <w:p w14:paraId="7100C3E1" w14:textId="77777777" w:rsidR="007F44A9" w:rsidRPr="00992EF8" w:rsidRDefault="007F44A9" w:rsidP="007F44A9">
            <w:pPr>
              <w:rPr>
                <w:rFonts w:asciiTheme="majorHAnsi" w:eastAsia="Times New Roman" w:hAnsiTheme="majorHAnsi" w:cs="Times New Roman"/>
                <w:color w:val="0B0C0C"/>
                <w:sz w:val="19"/>
                <w:szCs w:val="19"/>
              </w:rPr>
            </w:pPr>
          </w:p>
        </w:tc>
      </w:tr>
      <w:tr w:rsidR="007F44A9" w:rsidRPr="00992EF8" w14:paraId="21697BC3" w14:textId="77777777" w:rsidTr="007F44A9">
        <w:trPr>
          <w:trHeight w:val="260"/>
        </w:trPr>
        <w:tc>
          <w:tcPr>
            <w:tcW w:w="1248" w:type="pct"/>
            <w:tcBorders>
              <w:top w:val="nil"/>
              <w:left w:val="nil"/>
              <w:bottom w:val="nil"/>
              <w:right w:val="nil"/>
            </w:tcBorders>
            <w:shd w:val="clear" w:color="auto" w:fill="auto"/>
            <w:noWrap/>
            <w:vAlign w:val="bottom"/>
            <w:hideMark/>
          </w:tcPr>
          <w:p w14:paraId="1646FC46" w14:textId="77777777" w:rsidR="007F44A9" w:rsidRPr="00992EF8" w:rsidRDefault="007F44A9" w:rsidP="007F44A9">
            <w:pPr>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Basic Rate Band - up to (2)</w:t>
            </w:r>
          </w:p>
        </w:tc>
        <w:tc>
          <w:tcPr>
            <w:tcW w:w="378" w:type="pct"/>
            <w:tcBorders>
              <w:top w:val="nil"/>
              <w:left w:val="nil"/>
              <w:bottom w:val="nil"/>
              <w:right w:val="nil"/>
            </w:tcBorders>
            <w:shd w:val="clear" w:color="auto" w:fill="auto"/>
            <w:noWrap/>
            <w:vAlign w:val="bottom"/>
            <w:hideMark/>
          </w:tcPr>
          <w:p w14:paraId="3C48C47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£37,400</w:t>
            </w:r>
          </w:p>
        </w:tc>
        <w:tc>
          <w:tcPr>
            <w:tcW w:w="378" w:type="pct"/>
            <w:tcBorders>
              <w:top w:val="nil"/>
              <w:left w:val="nil"/>
              <w:bottom w:val="nil"/>
              <w:right w:val="nil"/>
            </w:tcBorders>
            <w:shd w:val="clear" w:color="auto" w:fill="auto"/>
            <w:noWrap/>
            <w:vAlign w:val="bottom"/>
            <w:hideMark/>
          </w:tcPr>
          <w:p w14:paraId="4EA634E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£35,000</w:t>
            </w:r>
          </w:p>
        </w:tc>
        <w:tc>
          <w:tcPr>
            <w:tcW w:w="378" w:type="pct"/>
            <w:tcBorders>
              <w:top w:val="nil"/>
              <w:left w:val="nil"/>
              <w:bottom w:val="nil"/>
              <w:right w:val="nil"/>
            </w:tcBorders>
            <w:shd w:val="clear" w:color="auto" w:fill="auto"/>
            <w:noWrap/>
            <w:vAlign w:val="bottom"/>
            <w:hideMark/>
          </w:tcPr>
          <w:p w14:paraId="5947EDFC"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£34,370</w:t>
            </w:r>
          </w:p>
        </w:tc>
        <w:tc>
          <w:tcPr>
            <w:tcW w:w="378" w:type="pct"/>
            <w:tcBorders>
              <w:top w:val="nil"/>
              <w:left w:val="nil"/>
              <w:bottom w:val="nil"/>
              <w:right w:val="nil"/>
            </w:tcBorders>
            <w:shd w:val="clear" w:color="auto" w:fill="auto"/>
            <w:noWrap/>
            <w:vAlign w:val="bottom"/>
            <w:hideMark/>
          </w:tcPr>
          <w:p w14:paraId="3781D09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£32,010</w:t>
            </w:r>
          </w:p>
        </w:tc>
        <w:tc>
          <w:tcPr>
            <w:tcW w:w="378" w:type="pct"/>
            <w:tcBorders>
              <w:top w:val="nil"/>
              <w:left w:val="nil"/>
              <w:bottom w:val="nil"/>
              <w:right w:val="nil"/>
            </w:tcBorders>
            <w:shd w:val="clear" w:color="auto" w:fill="auto"/>
            <w:noWrap/>
            <w:vAlign w:val="bottom"/>
            <w:hideMark/>
          </w:tcPr>
          <w:p w14:paraId="0A2CD860"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£31,865</w:t>
            </w:r>
          </w:p>
        </w:tc>
        <w:tc>
          <w:tcPr>
            <w:tcW w:w="378" w:type="pct"/>
            <w:tcBorders>
              <w:top w:val="nil"/>
              <w:left w:val="nil"/>
              <w:bottom w:val="nil"/>
              <w:right w:val="nil"/>
            </w:tcBorders>
            <w:shd w:val="clear" w:color="auto" w:fill="auto"/>
            <w:noWrap/>
            <w:vAlign w:val="bottom"/>
            <w:hideMark/>
          </w:tcPr>
          <w:p w14:paraId="75759D55"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£31,785</w:t>
            </w:r>
          </w:p>
        </w:tc>
        <w:tc>
          <w:tcPr>
            <w:tcW w:w="378" w:type="pct"/>
            <w:tcBorders>
              <w:top w:val="nil"/>
              <w:left w:val="nil"/>
              <w:bottom w:val="nil"/>
              <w:right w:val="nil"/>
            </w:tcBorders>
            <w:shd w:val="clear" w:color="auto" w:fill="auto"/>
            <w:noWrap/>
            <w:vAlign w:val="bottom"/>
            <w:hideMark/>
          </w:tcPr>
          <w:p w14:paraId="3C21CA81"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£32,000</w:t>
            </w:r>
          </w:p>
        </w:tc>
        <w:tc>
          <w:tcPr>
            <w:tcW w:w="378" w:type="pct"/>
            <w:tcBorders>
              <w:top w:val="nil"/>
              <w:left w:val="nil"/>
              <w:bottom w:val="nil"/>
              <w:right w:val="nil"/>
            </w:tcBorders>
            <w:shd w:val="clear" w:color="auto" w:fill="auto"/>
            <w:noWrap/>
            <w:vAlign w:val="bottom"/>
            <w:hideMark/>
          </w:tcPr>
          <w:p w14:paraId="77627DD1"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£33,500</w:t>
            </w:r>
          </w:p>
        </w:tc>
        <w:tc>
          <w:tcPr>
            <w:tcW w:w="378" w:type="pct"/>
            <w:tcBorders>
              <w:top w:val="nil"/>
              <w:left w:val="nil"/>
              <w:bottom w:val="nil"/>
              <w:right w:val="nil"/>
            </w:tcBorders>
            <w:shd w:val="clear" w:color="auto" w:fill="auto"/>
            <w:noWrap/>
            <w:vAlign w:val="bottom"/>
            <w:hideMark/>
          </w:tcPr>
          <w:p w14:paraId="1881BBA8"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£34,500</w:t>
            </w:r>
          </w:p>
        </w:tc>
        <w:tc>
          <w:tcPr>
            <w:tcW w:w="352" w:type="pct"/>
            <w:tcBorders>
              <w:top w:val="nil"/>
              <w:left w:val="nil"/>
              <w:bottom w:val="nil"/>
              <w:right w:val="nil"/>
            </w:tcBorders>
            <w:shd w:val="clear" w:color="auto" w:fill="auto"/>
            <w:noWrap/>
            <w:vAlign w:val="bottom"/>
            <w:hideMark/>
          </w:tcPr>
          <w:p w14:paraId="4408D1E8" w14:textId="77777777" w:rsidR="007F44A9" w:rsidRPr="00992EF8" w:rsidRDefault="007F44A9" w:rsidP="007F44A9">
            <w:pPr>
              <w:rPr>
                <w:rFonts w:asciiTheme="majorHAnsi" w:eastAsia="Times New Roman" w:hAnsiTheme="majorHAnsi" w:cs="Times New Roman"/>
                <w:color w:val="0B0C0C"/>
                <w:sz w:val="19"/>
                <w:szCs w:val="19"/>
              </w:rPr>
            </w:pPr>
          </w:p>
        </w:tc>
      </w:tr>
      <w:tr w:rsidR="007F44A9" w:rsidRPr="00992EF8" w14:paraId="3698B6BB" w14:textId="77777777" w:rsidTr="007F44A9">
        <w:trPr>
          <w:trHeight w:val="260"/>
        </w:trPr>
        <w:tc>
          <w:tcPr>
            <w:tcW w:w="1248" w:type="pct"/>
            <w:tcBorders>
              <w:top w:val="nil"/>
              <w:left w:val="nil"/>
              <w:bottom w:val="nil"/>
              <w:right w:val="nil"/>
            </w:tcBorders>
            <w:shd w:val="clear" w:color="auto" w:fill="auto"/>
            <w:noWrap/>
            <w:vAlign w:val="bottom"/>
            <w:hideMark/>
          </w:tcPr>
          <w:p w14:paraId="66BDB071" w14:textId="77777777" w:rsidR="007F44A9" w:rsidRPr="00992EF8" w:rsidRDefault="007F44A9" w:rsidP="007F44A9">
            <w:pPr>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Basic Rate Increase</w:t>
            </w:r>
          </w:p>
        </w:tc>
        <w:tc>
          <w:tcPr>
            <w:tcW w:w="378" w:type="pct"/>
            <w:tcBorders>
              <w:top w:val="nil"/>
              <w:left w:val="nil"/>
              <w:bottom w:val="nil"/>
              <w:right w:val="nil"/>
            </w:tcBorders>
            <w:shd w:val="clear" w:color="auto" w:fill="auto"/>
            <w:noWrap/>
            <w:vAlign w:val="bottom"/>
            <w:hideMark/>
          </w:tcPr>
          <w:p w14:paraId="1626DFA1"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6C5DF1A3"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-6.42%</w:t>
            </w:r>
          </w:p>
        </w:tc>
        <w:tc>
          <w:tcPr>
            <w:tcW w:w="378" w:type="pct"/>
            <w:tcBorders>
              <w:top w:val="nil"/>
              <w:left w:val="nil"/>
              <w:bottom w:val="nil"/>
              <w:right w:val="nil"/>
            </w:tcBorders>
            <w:shd w:val="clear" w:color="auto" w:fill="auto"/>
            <w:noWrap/>
            <w:vAlign w:val="bottom"/>
            <w:hideMark/>
          </w:tcPr>
          <w:p w14:paraId="6B0BE55C"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-1.80%</w:t>
            </w:r>
          </w:p>
        </w:tc>
        <w:tc>
          <w:tcPr>
            <w:tcW w:w="378" w:type="pct"/>
            <w:tcBorders>
              <w:top w:val="nil"/>
              <w:left w:val="nil"/>
              <w:bottom w:val="nil"/>
              <w:right w:val="nil"/>
            </w:tcBorders>
            <w:shd w:val="clear" w:color="auto" w:fill="auto"/>
            <w:noWrap/>
            <w:vAlign w:val="bottom"/>
            <w:hideMark/>
          </w:tcPr>
          <w:p w14:paraId="426AF10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-6.87%</w:t>
            </w:r>
          </w:p>
        </w:tc>
        <w:tc>
          <w:tcPr>
            <w:tcW w:w="378" w:type="pct"/>
            <w:tcBorders>
              <w:top w:val="nil"/>
              <w:left w:val="nil"/>
              <w:bottom w:val="nil"/>
              <w:right w:val="nil"/>
            </w:tcBorders>
            <w:shd w:val="clear" w:color="auto" w:fill="auto"/>
            <w:noWrap/>
            <w:vAlign w:val="bottom"/>
            <w:hideMark/>
          </w:tcPr>
          <w:p w14:paraId="1BADAE6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-0.45%</w:t>
            </w:r>
          </w:p>
        </w:tc>
        <w:tc>
          <w:tcPr>
            <w:tcW w:w="378" w:type="pct"/>
            <w:tcBorders>
              <w:top w:val="nil"/>
              <w:left w:val="nil"/>
              <w:bottom w:val="nil"/>
              <w:right w:val="nil"/>
            </w:tcBorders>
            <w:shd w:val="clear" w:color="auto" w:fill="auto"/>
            <w:noWrap/>
            <w:vAlign w:val="bottom"/>
            <w:hideMark/>
          </w:tcPr>
          <w:p w14:paraId="7109625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-0.25%</w:t>
            </w:r>
          </w:p>
        </w:tc>
        <w:tc>
          <w:tcPr>
            <w:tcW w:w="378" w:type="pct"/>
            <w:tcBorders>
              <w:top w:val="nil"/>
              <w:left w:val="nil"/>
              <w:bottom w:val="nil"/>
              <w:right w:val="nil"/>
            </w:tcBorders>
            <w:shd w:val="clear" w:color="auto" w:fill="auto"/>
            <w:noWrap/>
            <w:vAlign w:val="bottom"/>
            <w:hideMark/>
          </w:tcPr>
          <w:p w14:paraId="100F70A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0.68%</w:t>
            </w:r>
          </w:p>
        </w:tc>
        <w:tc>
          <w:tcPr>
            <w:tcW w:w="378" w:type="pct"/>
            <w:tcBorders>
              <w:top w:val="nil"/>
              <w:left w:val="nil"/>
              <w:bottom w:val="nil"/>
              <w:right w:val="nil"/>
            </w:tcBorders>
            <w:shd w:val="clear" w:color="auto" w:fill="auto"/>
            <w:noWrap/>
            <w:vAlign w:val="bottom"/>
            <w:hideMark/>
          </w:tcPr>
          <w:p w14:paraId="3B61EC5F"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4.69%</w:t>
            </w:r>
          </w:p>
        </w:tc>
        <w:tc>
          <w:tcPr>
            <w:tcW w:w="378" w:type="pct"/>
            <w:tcBorders>
              <w:top w:val="nil"/>
              <w:left w:val="nil"/>
              <w:bottom w:val="nil"/>
              <w:right w:val="nil"/>
            </w:tcBorders>
            <w:shd w:val="clear" w:color="auto" w:fill="auto"/>
            <w:noWrap/>
            <w:vAlign w:val="bottom"/>
            <w:hideMark/>
          </w:tcPr>
          <w:p w14:paraId="36B5BE5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2.99%</w:t>
            </w:r>
          </w:p>
        </w:tc>
        <w:tc>
          <w:tcPr>
            <w:tcW w:w="352" w:type="pct"/>
            <w:tcBorders>
              <w:top w:val="nil"/>
              <w:left w:val="nil"/>
              <w:bottom w:val="nil"/>
              <w:right w:val="nil"/>
            </w:tcBorders>
            <w:shd w:val="clear" w:color="auto" w:fill="auto"/>
            <w:noWrap/>
            <w:vAlign w:val="bottom"/>
            <w:hideMark/>
          </w:tcPr>
          <w:p w14:paraId="75541AE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-0.93%</w:t>
            </w:r>
          </w:p>
        </w:tc>
      </w:tr>
      <w:tr w:rsidR="007F44A9" w:rsidRPr="00992EF8" w14:paraId="2FD3C3F8" w14:textId="77777777" w:rsidTr="007F44A9">
        <w:trPr>
          <w:trHeight w:val="260"/>
        </w:trPr>
        <w:tc>
          <w:tcPr>
            <w:tcW w:w="1248" w:type="pct"/>
            <w:tcBorders>
              <w:top w:val="nil"/>
              <w:left w:val="nil"/>
              <w:bottom w:val="nil"/>
              <w:right w:val="nil"/>
            </w:tcBorders>
            <w:shd w:val="clear" w:color="auto" w:fill="auto"/>
            <w:noWrap/>
            <w:vAlign w:val="bottom"/>
          </w:tcPr>
          <w:p w14:paraId="548EE837"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096F75B4"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14032733"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58039AD4"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1D57A5E9"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4684AEE4"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6B363319"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195330DC"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27861541"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tcPr>
          <w:p w14:paraId="5DEA3454" w14:textId="77777777" w:rsidR="007F44A9" w:rsidRPr="00992EF8" w:rsidRDefault="007F44A9" w:rsidP="007F44A9">
            <w:pPr>
              <w:jc w:val="right"/>
              <w:rPr>
                <w:rFonts w:asciiTheme="majorHAnsi" w:eastAsia="Times New Roman" w:hAnsiTheme="majorHAnsi" w:cs="Times New Roman"/>
                <w:color w:val="000000"/>
                <w:sz w:val="19"/>
                <w:szCs w:val="19"/>
              </w:rPr>
            </w:pPr>
          </w:p>
        </w:tc>
        <w:tc>
          <w:tcPr>
            <w:tcW w:w="352" w:type="pct"/>
            <w:tcBorders>
              <w:top w:val="nil"/>
              <w:left w:val="nil"/>
              <w:bottom w:val="nil"/>
              <w:right w:val="nil"/>
            </w:tcBorders>
            <w:shd w:val="clear" w:color="auto" w:fill="auto"/>
            <w:noWrap/>
            <w:vAlign w:val="bottom"/>
          </w:tcPr>
          <w:p w14:paraId="7CE672EC"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4D2AF7FE" w14:textId="77777777" w:rsidTr="007F44A9">
        <w:trPr>
          <w:trHeight w:val="260"/>
        </w:trPr>
        <w:tc>
          <w:tcPr>
            <w:tcW w:w="1248" w:type="pct"/>
            <w:tcBorders>
              <w:top w:val="nil"/>
              <w:left w:val="nil"/>
              <w:bottom w:val="nil"/>
              <w:right w:val="nil"/>
            </w:tcBorders>
            <w:shd w:val="clear" w:color="auto" w:fill="auto"/>
            <w:noWrap/>
            <w:vAlign w:val="bottom"/>
            <w:hideMark/>
          </w:tcPr>
          <w:p w14:paraId="1BA7015F" w14:textId="77777777" w:rsidR="007F44A9" w:rsidRPr="00992EF8" w:rsidRDefault="007F44A9" w:rsidP="007F44A9">
            <w:pPr>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Higher Rate - up to (3)</w:t>
            </w:r>
          </w:p>
        </w:tc>
        <w:tc>
          <w:tcPr>
            <w:tcW w:w="378" w:type="pct"/>
            <w:tcBorders>
              <w:top w:val="nil"/>
              <w:left w:val="nil"/>
              <w:bottom w:val="nil"/>
              <w:right w:val="nil"/>
            </w:tcBorders>
            <w:shd w:val="clear" w:color="auto" w:fill="auto"/>
            <w:noWrap/>
            <w:vAlign w:val="bottom"/>
            <w:hideMark/>
          </w:tcPr>
          <w:p w14:paraId="70EC606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373AD61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6733EA4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4DAF68E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5D5942B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44610833"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59845C53"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45D6C72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78" w:type="pct"/>
            <w:tcBorders>
              <w:top w:val="nil"/>
              <w:left w:val="nil"/>
              <w:bottom w:val="nil"/>
              <w:right w:val="nil"/>
            </w:tcBorders>
            <w:shd w:val="clear" w:color="auto" w:fill="auto"/>
            <w:noWrap/>
            <w:vAlign w:val="bottom"/>
            <w:hideMark/>
          </w:tcPr>
          <w:p w14:paraId="5BA2E55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£150,000</w:t>
            </w:r>
          </w:p>
        </w:tc>
        <w:tc>
          <w:tcPr>
            <w:tcW w:w="352" w:type="pct"/>
            <w:tcBorders>
              <w:top w:val="nil"/>
              <w:left w:val="nil"/>
              <w:bottom w:val="nil"/>
              <w:right w:val="nil"/>
            </w:tcBorders>
            <w:shd w:val="clear" w:color="auto" w:fill="auto"/>
            <w:noWrap/>
            <w:vAlign w:val="bottom"/>
            <w:hideMark/>
          </w:tcPr>
          <w:p w14:paraId="1344B045"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457AD181" w14:textId="77777777" w:rsidTr="007F44A9">
        <w:trPr>
          <w:trHeight w:val="260"/>
        </w:trPr>
        <w:tc>
          <w:tcPr>
            <w:tcW w:w="1248" w:type="pct"/>
            <w:tcBorders>
              <w:top w:val="nil"/>
              <w:left w:val="nil"/>
              <w:bottom w:val="nil"/>
              <w:right w:val="nil"/>
            </w:tcBorders>
            <w:shd w:val="clear" w:color="auto" w:fill="auto"/>
            <w:noWrap/>
            <w:vAlign w:val="bottom"/>
            <w:hideMark/>
          </w:tcPr>
          <w:p w14:paraId="0478BC92" w14:textId="77777777" w:rsidR="007F44A9" w:rsidRPr="00992EF8" w:rsidRDefault="007F44A9" w:rsidP="007F44A9">
            <w:pPr>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Higher rate increase</w:t>
            </w:r>
          </w:p>
        </w:tc>
        <w:tc>
          <w:tcPr>
            <w:tcW w:w="378" w:type="pct"/>
            <w:tcBorders>
              <w:top w:val="nil"/>
              <w:left w:val="nil"/>
              <w:bottom w:val="nil"/>
              <w:right w:val="nil"/>
            </w:tcBorders>
            <w:shd w:val="clear" w:color="auto" w:fill="auto"/>
            <w:noWrap/>
            <w:vAlign w:val="bottom"/>
            <w:hideMark/>
          </w:tcPr>
          <w:p w14:paraId="26E6D2BB"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002F116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28BC2CA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560918DF"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60BF8F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045A8F9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214383B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6213151"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26DB37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52" w:type="pct"/>
            <w:tcBorders>
              <w:top w:val="nil"/>
              <w:left w:val="nil"/>
              <w:bottom w:val="nil"/>
              <w:right w:val="nil"/>
            </w:tcBorders>
            <w:shd w:val="clear" w:color="auto" w:fill="auto"/>
            <w:noWrap/>
            <w:vAlign w:val="bottom"/>
            <w:hideMark/>
          </w:tcPr>
          <w:p w14:paraId="358B8BB1"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r>
      <w:tr w:rsidR="007F44A9" w:rsidRPr="00992EF8" w14:paraId="339D9DED" w14:textId="77777777" w:rsidTr="007F44A9">
        <w:trPr>
          <w:trHeight w:val="300"/>
        </w:trPr>
        <w:tc>
          <w:tcPr>
            <w:tcW w:w="1248" w:type="pct"/>
            <w:tcBorders>
              <w:top w:val="nil"/>
              <w:left w:val="nil"/>
              <w:bottom w:val="nil"/>
              <w:right w:val="nil"/>
            </w:tcBorders>
            <w:shd w:val="clear" w:color="auto" w:fill="auto"/>
            <w:noWrap/>
            <w:vAlign w:val="bottom"/>
          </w:tcPr>
          <w:p w14:paraId="39C06189" w14:textId="77777777" w:rsidR="007F44A9" w:rsidRPr="00992EF8" w:rsidRDefault="007F44A9" w:rsidP="007F44A9">
            <w:pPr>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246A9C70"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29003C19"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090E4288"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031B1EC5"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42782A5B"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16FDC725"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20CD9802"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0A4D35BC"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tcPr>
          <w:p w14:paraId="4F1318D4"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52" w:type="pct"/>
            <w:tcBorders>
              <w:top w:val="nil"/>
              <w:left w:val="nil"/>
              <w:bottom w:val="nil"/>
              <w:right w:val="nil"/>
            </w:tcBorders>
            <w:shd w:val="clear" w:color="auto" w:fill="auto"/>
            <w:noWrap/>
            <w:vAlign w:val="bottom"/>
          </w:tcPr>
          <w:p w14:paraId="2AAC6B50" w14:textId="77777777" w:rsidR="007F44A9" w:rsidRPr="00992EF8" w:rsidRDefault="007F44A9" w:rsidP="007F44A9">
            <w:pPr>
              <w:jc w:val="right"/>
              <w:rPr>
                <w:rFonts w:asciiTheme="majorHAnsi" w:eastAsia="Times New Roman" w:hAnsiTheme="majorHAnsi" w:cs="Times New Roman"/>
                <w:color w:val="0B0C0C"/>
                <w:sz w:val="19"/>
                <w:szCs w:val="19"/>
              </w:rPr>
            </w:pPr>
          </w:p>
        </w:tc>
      </w:tr>
      <w:tr w:rsidR="007F44A9" w:rsidRPr="00992EF8" w14:paraId="6F562014" w14:textId="77777777" w:rsidTr="007F44A9">
        <w:trPr>
          <w:trHeight w:val="300"/>
        </w:trPr>
        <w:tc>
          <w:tcPr>
            <w:tcW w:w="1248" w:type="pct"/>
            <w:tcBorders>
              <w:top w:val="nil"/>
              <w:left w:val="nil"/>
              <w:bottom w:val="nil"/>
              <w:right w:val="nil"/>
            </w:tcBorders>
            <w:shd w:val="clear" w:color="auto" w:fill="auto"/>
            <w:noWrap/>
            <w:vAlign w:val="bottom"/>
            <w:hideMark/>
          </w:tcPr>
          <w:p w14:paraId="13C4114A" w14:textId="3E875ED9" w:rsidR="007F44A9" w:rsidRPr="00992EF8" w:rsidRDefault="007F44A9" w:rsidP="007F44A9">
            <w:pPr>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Threshold income for PA reduction</w:t>
            </w:r>
          </w:p>
        </w:tc>
        <w:tc>
          <w:tcPr>
            <w:tcW w:w="378" w:type="pct"/>
            <w:tcBorders>
              <w:top w:val="nil"/>
              <w:left w:val="nil"/>
              <w:bottom w:val="nil"/>
              <w:right w:val="nil"/>
            </w:tcBorders>
            <w:shd w:val="clear" w:color="auto" w:fill="auto"/>
            <w:noWrap/>
            <w:vAlign w:val="bottom"/>
            <w:hideMark/>
          </w:tcPr>
          <w:p w14:paraId="63D80C09"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7252B266"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6992D9EE"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41BF6870"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67165685"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5F02113E"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6D5C6B0F"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0D84221A"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78" w:type="pct"/>
            <w:tcBorders>
              <w:top w:val="nil"/>
              <w:left w:val="nil"/>
              <w:bottom w:val="nil"/>
              <w:right w:val="nil"/>
            </w:tcBorders>
            <w:shd w:val="clear" w:color="auto" w:fill="auto"/>
            <w:noWrap/>
            <w:vAlign w:val="bottom"/>
            <w:hideMark/>
          </w:tcPr>
          <w:p w14:paraId="211CF878" w14:textId="77777777" w:rsidR="007F44A9" w:rsidRPr="00992EF8" w:rsidRDefault="007F44A9" w:rsidP="007F44A9">
            <w:pPr>
              <w:jc w:val="right"/>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t>£100,000</w:t>
            </w:r>
          </w:p>
        </w:tc>
        <w:tc>
          <w:tcPr>
            <w:tcW w:w="352" w:type="pct"/>
            <w:tcBorders>
              <w:top w:val="nil"/>
              <w:left w:val="nil"/>
              <w:bottom w:val="nil"/>
              <w:right w:val="nil"/>
            </w:tcBorders>
            <w:shd w:val="clear" w:color="auto" w:fill="auto"/>
            <w:noWrap/>
            <w:vAlign w:val="bottom"/>
            <w:hideMark/>
          </w:tcPr>
          <w:p w14:paraId="6F74CFD5" w14:textId="77777777" w:rsidR="007F44A9" w:rsidRPr="00992EF8" w:rsidRDefault="007F44A9" w:rsidP="007F44A9">
            <w:pPr>
              <w:jc w:val="right"/>
              <w:rPr>
                <w:rFonts w:asciiTheme="majorHAnsi" w:eastAsia="Times New Roman" w:hAnsiTheme="majorHAnsi" w:cs="Times New Roman"/>
                <w:color w:val="0B0C0C"/>
                <w:sz w:val="19"/>
                <w:szCs w:val="19"/>
              </w:rPr>
            </w:pPr>
          </w:p>
        </w:tc>
      </w:tr>
      <w:tr w:rsidR="007F44A9" w:rsidRPr="00992EF8" w14:paraId="6D2D4795" w14:textId="77777777" w:rsidTr="007F44A9">
        <w:trPr>
          <w:trHeight w:val="300"/>
        </w:trPr>
        <w:tc>
          <w:tcPr>
            <w:tcW w:w="1248" w:type="pct"/>
            <w:tcBorders>
              <w:top w:val="nil"/>
              <w:left w:val="nil"/>
              <w:bottom w:val="nil"/>
              <w:right w:val="nil"/>
            </w:tcBorders>
            <w:shd w:val="clear" w:color="auto" w:fill="auto"/>
            <w:noWrap/>
            <w:vAlign w:val="bottom"/>
            <w:hideMark/>
          </w:tcPr>
          <w:p w14:paraId="5619894A" w14:textId="77777777" w:rsidR="007F44A9" w:rsidRPr="00992EF8" w:rsidRDefault="007F44A9" w:rsidP="007F44A9">
            <w:pPr>
              <w:rPr>
                <w:rFonts w:asciiTheme="majorHAnsi" w:eastAsia="Times New Roman" w:hAnsiTheme="majorHAnsi" w:cs="Times New Roman"/>
                <w:color w:val="0B0C0C"/>
                <w:sz w:val="19"/>
                <w:szCs w:val="19"/>
              </w:rPr>
            </w:pPr>
            <w:r w:rsidRPr="00992EF8">
              <w:rPr>
                <w:rFonts w:asciiTheme="majorHAnsi" w:eastAsia="Times New Roman" w:hAnsiTheme="majorHAnsi" w:cs="Times New Roman"/>
                <w:color w:val="0B0C0C"/>
                <w:sz w:val="19"/>
                <w:szCs w:val="19"/>
              </w:rPr>
              <w:lastRenderedPageBreak/>
              <w:t>Threshold income for PA reduction</w:t>
            </w:r>
          </w:p>
        </w:tc>
        <w:tc>
          <w:tcPr>
            <w:tcW w:w="378" w:type="pct"/>
            <w:tcBorders>
              <w:top w:val="nil"/>
              <w:left w:val="nil"/>
              <w:bottom w:val="nil"/>
              <w:right w:val="nil"/>
            </w:tcBorders>
            <w:shd w:val="clear" w:color="auto" w:fill="auto"/>
            <w:noWrap/>
            <w:vAlign w:val="bottom"/>
            <w:hideMark/>
          </w:tcPr>
          <w:p w14:paraId="2CB4B69F" w14:textId="77777777" w:rsidR="007F44A9" w:rsidRPr="00992EF8" w:rsidRDefault="007F44A9" w:rsidP="007F44A9">
            <w:pPr>
              <w:jc w:val="right"/>
              <w:rPr>
                <w:rFonts w:asciiTheme="majorHAnsi" w:eastAsia="Times New Roman" w:hAnsiTheme="majorHAnsi" w:cs="Times New Roman"/>
                <w:color w:val="0B0C0C"/>
                <w:sz w:val="19"/>
                <w:szCs w:val="19"/>
              </w:rPr>
            </w:pPr>
          </w:p>
        </w:tc>
        <w:tc>
          <w:tcPr>
            <w:tcW w:w="378" w:type="pct"/>
            <w:tcBorders>
              <w:top w:val="nil"/>
              <w:left w:val="nil"/>
              <w:bottom w:val="nil"/>
              <w:right w:val="nil"/>
            </w:tcBorders>
            <w:shd w:val="clear" w:color="auto" w:fill="auto"/>
            <w:noWrap/>
            <w:vAlign w:val="bottom"/>
            <w:hideMark/>
          </w:tcPr>
          <w:p w14:paraId="2BCECA5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734C6D1"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7EBC12A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1024322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57A5303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7737F908"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959B18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40FD3BA0"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52" w:type="pct"/>
            <w:tcBorders>
              <w:top w:val="nil"/>
              <w:left w:val="nil"/>
              <w:bottom w:val="nil"/>
              <w:right w:val="nil"/>
            </w:tcBorders>
            <w:shd w:val="clear" w:color="auto" w:fill="auto"/>
            <w:noWrap/>
            <w:vAlign w:val="bottom"/>
            <w:hideMark/>
          </w:tcPr>
          <w:p w14:paraId="4DE534F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r>
      <w:tr w:rsidR="007F44A9" w:rsidRPr="00992EF8" w14:paraId="22E16564" w14:textId="77777777" w:rsidTr="007F44A9">
        <w:trPr>
          <w:trHeight w:val="260"/>
        </w:trPr>
        <w:tc>
          <w:tcPr>
            <w:tcW w:w="1248" w:type="pct"/>
            <w:tcBorders>
              <w:top w:val="nil"/>
              <w:left w:val="nil"/>
              <w:bottom w:val="nil"/>
              <w:right w:val="nil"/>
            </w:tcBorders>
            <w:shd w:val="clear" w:color="auto" w:fill="auto"/>
            <w:noWrap/>
            <w:vAlign w:val="bottom"/>
            <w:hideMark/>
          </w:tcPr>
          <w:p w14:paraId="7D20224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4CEECA8"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2159C92B"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C872BD3"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8A8EFC8"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40392FD"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82ACAC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7CB1159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0964D0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1114B851"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62EFC18F"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14CC8D76" w14:textId="77777777" w:rsidTr="007F44A9">
        <w:trPr>
          <w:trHeight w:val="340"/>
        </w:trPr>
        <w:tc>
          <w:tcPr>
            <w:tcW w:w="1248" w:type="pct"/>
            <w:tcBorders>
              <w:top w:val="nil"/>
              <w:left w:val="nil"/>
              <w:bottom w:val="nil"/>
              <w:right w:val="nil"/>
            </w:tcBorders>
            <w:shd w:val="clear" w:color="auto" w:fill="auto"/>
            <w:noWrap/>
            <w:vAlign w:val="bottom"/>
            <w:hideMark/>
          </w:tcPr>
          <w:p w14:paraId="3BFB6A05" w14:textId="77777777" w:rsidR="007F44A9" w:rsidRPr="00992EF8" w:rsidRDefault="007F44A9" w:rsidP="007F44A9">
            <w:pPr>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CGT Allowances</w:t>
            </w:r>
          </w:p>
        </w:tc>
        <w:tc>
          <w:tcPr>
            <w:tcW w:w="378" w:type="pct"/>
            <w:tcBorders>
              <w:top w:val="nil"/>
              <w:left w:val="nil"/>
              <w:bottom w:val="nil"/>
              <w:right w:val="nil"/>
            </w:tcBorders>
            <w:shd w:val="clear" w:color="auto" w:fill="auto"/>
            <w:noWrap/>
            <w:vAlign w:val="bottom"/>
            <w:hideMark/>
          </w:tcPr>
          <w:p w14:paraId="371F209A"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4032852B"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6D2B9890"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3C88B344"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6352015B"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5C0AEF1A"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2A8399A1"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15A97F85"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228DD67A"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52" w:type="pct"/>
            <w:tcBorders>
              <w:top w:val="nil"/>
              <w:left w:val="nil"/>
              <w:bottom w:val="nil"/>
              <w:right w:val="nil"/>
            </w:tcBorders>
            <w:shd w:val="clear" w:color="auto" w:fill="auto"/>
            <w:noWrap/>
            <w:vAlign w:val="bottom"/>
            <w:hideMark/>
          </w:tcPr>
          <w:p w14:paraId="3669D2E6" w14:textId="77777777" w:rsidR="007F44A9" w:rsidRPr="00992EF8" w:rsidRDefault="007F44A9" w:rsidP="007F44A9">
            <w:pPr>
              <w:jc w:val="right"/>
              <w:rPr>
                <w:rFonts w:asciiTheme="majorHAnsi" w:eastAsia="Times New Roman" w:hAnsiTheme="majorHAnsi" w:cs="Times New Roman"/>
                <w:b/>
                <w:bCs/>
                <w:color w:val="0B0C0C"/>
                <w:sz w:val="26"/>
                <w:szCs w:val="26"/>
              </w:rPr>
            </w:pPr>
          </w:p>
        </w:tc>
      </w:tr>
      <w:tr w:rsidR="007F44A9" w:rsidRPr="00992EF8" w14:paraId="75C39990" w14:textId="77777777" w:rsidTr="007F44A9">
        <w:trPr>
          <w:trHeight w:val="260"/>
        </w:trPr>
        <w:tc>
          <w:tcPr>
            <w:tcW w:w="1248" w:type="pct"/>
            <w:tcBorders>
              <w:top w:val="nil"/>
              <w:left w:val="nil"/>
              <w:bottom w:val="nil"/>
              <w:right w:val="nil"/>
            </w:tcBorders>
            <w:shd w:val="clear" w:color="auto" w:fill="auto"/>
            <w:noWrap/>
            <w:vAlign w:val="bottom"/>
            <w:hideMark/>
          </w:tcPr>
          <w:p w14:paraId="065B9B6C"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Individual CGT Allowance (4)</w:t>
            </w:r>
          </w:p>
        </w:tc>
        <w:tc>
          <w:tcPr>
            <w:tcW w:w="378" w:type="pct"/>
            <w:tcBorders>
              <w:top w:val="nil"/>
              <w:left w:val="nil"/>
              <w:bottom w:val="nil"/>
              <w:right w:val="nil"/>
            </w:tcBorders>
            <w:shd w:val="clear" w:color="auto" w:fill="auto"/>
            <w:noWrap/>
            <w:vAlign w:val="bottom"/>
            <w:hideMark/>
          </w:tcPr>
          <w:p w14:paraId="0366308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£10,100</w:t>
            </w:r>
          </w:p>
        </w:tc>
        <w:tc>
          <w:tcPr>
            <w:tcW w:w="378" w:type="pct"/>
            <w:tcBorders>
              <w:top w:val="nil"/>
              <w:left w:val="nil"/>
              <w:bottom w:val="nil"/>
              <w:right w:val="nil"/>
            </w:tcBorders>
            <w:shd w:val="clear" w:color="auto" w:fill="auto"/>
            <w:noWrap/>
            <w:vAlign w:val="bottom"/>
            <w:hideMark/>
          </w:tcPr>
          <w:p w14:paraId="025FE6D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£10,600</w:t>
            </w:r>
          </w:p>
        </w:tc>
        <w:tc>
          <w:tcPr>
            <w:tcW w:w="378" w:type="pct"/>
            <w:tcBorders>
              <w:top w:val="nil"/>
              <w:left w:val="nil"/>
              <w:bottom w:val="nil"/>
              <w:right w:val="nil"/>
            </w:tcBorders>
            <w:shd w:val="clear" w:color="auto" w:fill="auto"/>
            <w:noWrap/>
            <w:vAlign w:val="bottom"/>
            <w:hideMark/>
          </w:tcPr>
          <w:p w14:paraId="3428548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£10,600</w:t>
            </w:r>
          </w:p>
        </w:tc>
        <w:tc>
          <w:tcPr>
            <w:tcW w:w="378" w:type="pct"/>
            <w:tcBorders>
              <w:top w:val="nil"/>
              <w:left w:val="nil"/>
              <w:bottom w:val="nil"/>
              <w:right w:val="nil"/>
            </w:tcBorders>
            <w:shd w:val="clear" w:color="auto" w:fill="auto"/>
            <w:noWrap/>
            <w:vAlign w:val="bottom"/>
            <w:hideMark/>
          </w:tcPr>
          <w:p w14:paraId="0A3F60E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£10,900</w:t>
            </w:r>
          </w:p>
        </w:tc>
        <w:tc>
          <w:tcPr>
            <w:tcW w:w="378" w:type="pct"/>
            <w:tcBorders>
              <w:top w:val="nil"/>
              <w:left w:val="nil"/>
              <w:bottom w:val="nil"/>
              <w:right w:val="nil"/>
            </w:tcBorders>
            <w:shd w:val="clear" w:color="auto" w:fill="auto"/>
            <w:noWrap/>
            <w:vAlign w:val="bottom"/>
            <w:hideMark/>
          </w:tcPr>
          <w:p w14:paraId="3C75BF6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£11,000</w:t>
            </w:r>
          </w:p>
        </w:tc>
        <w:tc>
          <w:tcPr>
            <w:tcW w:w="378" w:type="pct"/>
            <w:tcBorders>
              <w:top w:val="nil"/>
              <w:left w:val="nil"/>
              <w:bottom w:val="nil"/>
              <w:right w:val="nil"/>
            </w:tcBorders>
            <w:shd w:val="clear" w:color="auto" w:fill="auto"/>
            <w:noWrap/>
            <w:vAlign w:val="bottom"/>
            <w:hideMark/>
          </w:tcPr>
          <w:p w14:paraId="0C3BEC4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£11,100</w:t>
            </w:r>
          </w:p>
        </w:tc>
        <w:tc>
          <w:tcPr>
            <w:tcW w:w="378" w:type="pct"/>
            <w:tcBorders>
              <w:top w:val="nil"/>
              <w:left w:val="nil"/>
              <w:bottom w:val="nil"/>
              <w:right w:val="nil"/>
            </w:tcBorders>
            <w:shd w:val="clear" w:color="auto" w:fill="auto"/>
            <w:noWrap/>
            <w:vAlign w:val="bottom"/>
            <w:hideMark/>
          </w:tcPr>
          <w:p w14:paraId="71E4BCF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£11,100</w:t>
            </w:r>
          </w:p>
        </w:tc>
        <w:tc>
          <w:tcPr>
            <w:tcW w:w="378" w:type="pct"/>
            <w:tcBorders>
              <w:top w:val="nil"/>
              <w:left w:val="nil"/>
              <w:bottom w:val="nil"/>
              <w:right w:val="nil"/>
            </w:tcBorders>
            <w:shd w:val="clear" w:color="auto" w:fill="auto"/>
            <w:noWrap/>
            <w:vAlign w:val="bottom"/>
            <w:hideMark/>
          </w:tcPr>
          <w:p w14:paraId="6F32CAD0"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£11,300</w:t>
            </w:r>
          </w:p>
        </w:tc>
        <w:tc>
          <w:tcPr>
            <w:tcW w:w="378" w:type="pct"/>
            <w:tcBorders>
              <w:top w:val="nil"/>
              <w:left w:val="nil"/>
              <w:bottom w:val="nil"/>
              <w:right w:val="nil"/>
            </w:tcBorders>
            <w:shd w:val="clear" w:color="auto" w:fill="auto"/>
            <w:noWrap/>
            <w:vAlign w:val="bottom"/>
            <w:hideMark/>
          </w:tcPr>
          <w:p w14:paraId="0A9B817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£11,700</w:t>
            </w:r>
          </w:p>
        </w:tc>
        <w:tc>
          <w:tcPr>
            <w:tcW w:w="352" w:type="pct"/>
            <w:tcBorders>
              <w:top w:val="nil"/>
              <w:left w:val="nil"/>
              <w:bottom w:val="nil"/>
              <w:right w:val="nil"/>
            </w:tcBorders>
            <w:shd w:val="clear" w:color="auto" w:fill="auto"/>
            <w:noWrap/>
            <w:vAlign w:val="bottom"/>
            <w:hideMark/>
          </w:tcPr>
          <w:p w14:paraId="0AC2FF2A"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4F4F66D8" w14:textId="77777777" w:rsidTr="007F44A9">
        <w:trPr>
          <w:trHeight w:val="260"/>
        </w:trPr>
        <w:tc>
          <w:tcPr>
            <w:tcW w:w="1248" w:type="pct"/>
            <w:tcBorders>
              <w:top w:val="nil"/>
              <w:left w:val="nil"/>
              <w:bottom w:val="nil"/>
              <w:right w:val="nil"/>
            </w:tcBorders>
            <w:shd w:val="clear" w:color="auto" w:fill="auto"/>
            <w:noWrap/>
            <w:vAlign w:val="bottom"/>
            <w:hideMark/>
          </w:tcPr>
          <w:p w14:paraId="6BE72910"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CGT Increase</w:t>
            </w:r>
          </w:p>
        </w:tc>
        <w:tc>
          <w:tcPr>
            <w:tcW w:w="378" w:type="pct"/>
            <w:tcBorders>
              <w:top w:val="nil"/>
              <w:left w:val="nil"/>
              <w:bottom w:val="nil"/>
              <w:right w:val="nil"/>
            </w:tcBorders>
            <w:shd w:val="clear" w:color="auto" w:fill="auto"/>
            <w:noWrap/>
            <w:vAlign w:val="bottom"/>
            <w:hideMark/>
          </w:tcPr>
          <w:p w14:paraId="1E1F3F7A"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2FD2FE1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4.95%</w:t>
            </w:r>
          </w:p>
        </w:tc>
        <w:tc>
          <w:tcPr>
            <w:tcW w:w="378" w:type="pct"/>
            <w:tcBorders>
              <w:top w:val="nil"/>
              <w:left w:val="nil"/>
              <w:bottom w:val="nil"/>
              <w:right w:val="nil"/>
            </w:tcBorders>
            <w:shd w:val="clear" w:color="auto" w:fill="auto"/>
            <w:noWrap/>
            <w:vAlign w:val="bottom"/>
            <w:hideMark/>
          </w:tcPr>
          <w:p w14:paraId="4C6B93B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560EFD58"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2.83%</w:t>
            </w:r>
          </w:p>
        </w:tc>
        <w:tc>
          <w:tcPr>
            <w:tcW w:w="378" w:type="pct"/>
            <w:tcBorders>
              <w:top w:val="nil"/>
              <w:left w:val="nil"/>
              <w:bottom w:val="nil"/>
              <w:right w:val="nil"/>
            </w:tcBorders>
            <w:shd w:val="clear" w:color="auto" w:fill="auto"/>
            <w:noWrap/>
            <w:vAlign w:val="bottom"/>
            <w:hideMark/>
          </w:tcPr>
          <w:p w14:paraId="1819EA58"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0.92%</w:t>
            </w:r>
          </w:p>
        </w:tc>
        <w:tc>
          <w:tcPr>
            <w:tcW w:w="378" w:type="pct"/>
            <w:tcBorders>
              <w:top w:val="nil"/>
              <w:left w:val="nil"/>
              <w:bottom w:val="nil"/>
              <w:right w:val="nil"/>
            </w:tcBorders>
            <w:shd w:val="clear" w:color="auto" w:fill="auto"/>
            <w:noWrap/>
            <w:vAlign w:val="bottom"/>
            <w:hideMark/>
          </w:tcPr>
          <w:p w14:paraId="353FEF7C"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0.91%</w:t>
            </w:r>
          </w:p>
        </w:tc>
        <w:tc>
          <w:tcPr>
            <w:tcW w:w="378" w:type="pct"/>
            <w:tcBorders>
              <w:top w:val="nil"/>
              <w:left w:val="nil"/>
              <w:bottom w:val="nil"/>
              <w:right w:val="nil"/>
            </w:tcBorders>
            <w:shd w:val="clear" w:color="auto" w:fill="auto"/>
            <w:noWrap/>
            <w:vAlign w:val="bottom"/>
            <w:hideMark/>
          </w:tcPr>
          <w:p w14:paraId="70D346C1"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744E4AB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1.80%</w:t>
            </w:r>
          </w:p>
        </w:tc>
        <w:tc>
          <w:tcPr>
            <w:tcW w:w="378" w:type="pct"/>
            <w:tcBorders>
              <w:top w:val="nil"/>
              <w:left w:val="nil"/>
              <w:bottom w:val="nil"/>
              <w:right w:val="nil"/>
            </w:tcBorders>
            <w:shd w:val="clear" w:color="auto" w:fill="auto"/>
            <w:noWrap/>
            <w:vAlign w:val="bottom"/>
            <w:hideMark/>
          </w:tcPr>
          <w:p w14:paraId="7A95C21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3.54%</w:t>
            </w:r>
          </w:p>
        </w:tc>
        <w:tc>
          <w:tcPr>
            <w:tcW w:w="352" w:type="pct"/>
            <w:tcBorders>
              <w:top w:val="nil"/>
              <w:left w:val="nil"/>
              <w:bottom w:val="nil"/>
              <w:right w:val="nil"/>
            </w:tcBorders>
            <w:shd w:val="clear" w:color="auto" w:fill="auto"/>
            <w:noWrap/>
            <w:vAlign w:val="bottom"/>
            <w:hideMark/>
          </w:tcPr>
          <w:p w14:paraId="5E431A28"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1.87%</w:t>
            </w:r>
          </w:p>
        </w:tc>
      </w:tr>
      <w:tr w:rsidR="007F44A9" w:rsidRPr="00992EF8" w14:paraId="69F5D07B" w14:textId="77777777" w:rsidTr="007F44A9">
        <w:trPr>
          <w:trHeight w:val="260"/>
        </w:trPr>
        <w:tc>
          <w:tcPr>
            <w:tcW w:w="1248" w:type="pct"/>
            <w:tcBorders>
              <w:top w:val="nil"/>
              <w:left w:val="nil"/>
              <w:bottom w:val="nil"/>
              <w:right w:val="nil"/>
            </w:tcBorders>
            <w:shd w:val="clear" w:color="auto" w:fill="auto"/>
            <w:noWrap/>
            <w:vAlign w:val="bottom"/>
            <w:hideMark/>
          </w:tcPr>
          <w:p w14:paraId="34293F0A"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2D6442EB"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7A67F481"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011BEF7B"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27BEE37A"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61299616"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136FBC60"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409A59BC"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7C71573C"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232CA61D" w14:textId="77777777" w:rsidR="007F44A9" w:rsidRPr="00992EF8" w:rsidRDefault="007F44A9" w:rsidP="007F44A9">
            <w:pPr>
              <w:rPr>
                <w:rFonts w:asciiTheme="majorHAnsi" w:eastAsia="Times New Roman" w:hAnsiTheme="majorHAnsi" w:cs="Times New Roman"/>
                <w:color w:val="000000"/>
                <w:sz w:val="19"/>
                <w:szCs w:val="19"/>
              </w:rPr>
            </w:pPr>
          </w:p>
        </w:tc>
        <w:tc>
          <w:tcPr>
            <w:tcW w:w="352" w:type="pct"/>
            <w:tcBorders>
              <w:top w:val="nil"/>
              <w:left w:val="nil"/>
              <w:bottom w:val="nil"/>
              <w:right w:val="nil"/>
            </w:tcBorders>
            <w:shd w:val="clear" w:color="auto" w:fill="auto"/>
            <w:noWrap/>
            <w:vAlign w:val="bottom"/>
            <w:hideMark/>
          </w:tcPr>
          <w:p w14:paraId="02ED7032"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4D45DA4A" w14:textId="77777777" w:rsidTr="007F44A9">
        <w:trPr>
          <w:trHeight w:val="340"/>
        </w:trPr>
        <w:tc>
          <w:tcPr>
            <w:tcW w:w="1248" w:type="pct"/>
            <w:tcBorders>
              <w:top w:val="nil"/>
              <w:left w:val="nil"/>
              <w:bottom w:val="nil"/>
              <w:right w:val="nil"/>
            </w:tcBorders>
            <w:shd w:val="clear" w:color="auto" w:fill="auto"/>
            <w:noWrap/>
            <w:vAlign w:val="bottom"/>
            <w:hideMark/>
          </w:tcPr>
          <w:p w14:paraId="164BDFDF" w14:textId="77777777" w:rsidR="007F44A9" w:rsidRPr="00992EF8" w:rsidRDefault="007F44A9" w:rsidP="007F44A9">
            <w:pPr>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Pension Allowances</w:t>
            </w:r>
          </w:p>
        </w:tc>
        <w:tc>
          <w:tcPr>
            <w:tcW w:w="378" w:type="pct"/>
            <w:tcBorders>
              <w:top w:val="nil"/>
              <w:left w:val="nil"/>
              <w:bottom w:val="nil"/>
              <w:right w:val="nil"/>
            </w:tcBorders>
            <w:shd w:val="clear" w:color="auto" w:fill="auto"/>
            <w:noWrap/>
            <w:vAlign w:val="bottom"/>
            <w:hideMark/>
          </w:tcPr>
          <w:p w14:paraId="77D828AD"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3A9D7DAB"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46EAD6AC"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3A3A5E40"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6C3E87F3"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35F27927"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321E9B05"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5B2DDE17"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09ADF8F1"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52" w:type="pct"/>
            <w:tcBorders>
              <w:top w:val="nil"/>
              <w:left w:val="nil"/>
              <w:bottom w:val="nil"/>
              <w:right w:val="nil"/>
            </w:tcBorders>
            <w:shd w:val="clear" w:color="auto" w:fill="auto"/>
            <w:noWrap/>
            <w:vAlign w:val="bottom"/>
            <w:hideMark/>
          </w:tcPr>
          <w:p w14:paraId="7233EE32" w14:textId="77777777" w:rsidR="007F44A9" w:rsidRPr="00992EF8" w:rsidRDefault="007F44A9" w:rsidP="007F44A9">
            <w:pPr>
              <w:jc w:val="right"/>
              <w:rPr>
                <w:rFonts w:asciiTheme="majorHAnsi" w:eastAsia="Times New Roman" w:hAnsiTheme="majorHAnsi" w:cs="Times New Roman"/>
                <w:b/>
                <w:bCs/>
                <w:color w:val="0B0C0C"/>
                <w:sz w:val="19"/>
                <w:szCs w:val="19"/>
              </w:rPr>
            </w:pPr>
          </w:p>
        </w:tc>
      </w:tr>
      <w:tr w:rsidR="007F44A9" w:rsidRPr="00992EF8" w14:paraId="6C5E1480" w14:textId="77777777" w:rsidTr="007F44A9">
        <w:trPr>
          <w:trHeight w:val="260"/>
        </w:trPr>
        <w:tc>
          <w:tcPr>
            <w:tcW w:w="1248" w:type="pct"/>
            <w:tcBorders>
              <w:top w:val="nil"/>
              <w:left w:val="nil"/>
              <w:bottom w:val="nil"/>
              <w:right w:val="nil"/>
            </w:tcBorders>
            <w:shd w:val="clear" w:color="auto" w:fill="auto"/>
            <w:noWrap/>
            <w:vAlign w:val="bottom"/>
            <w:hideMark/>
          </w:tcPr>
          <w:p w14:paraId="0BD438E7"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Non-earnings pension allowance (5)</w:t>
            </w:r>
          </w:p>
        </w:tc>
        <w:tc>
          <w:tcPr>
            <w:tcW w:w="378" w:type="pct"/>
            <w:tcBorders>
              <w:top w:val="nil"/>
              <w:left w:val="nil"/>
              <w:bottom w:val="nil"/>
              <w:right w:val="nil"/>
            </w:tcBorders>
            <w:shd w:val="clear" w:color="auto" w:fill="auto"/>
            <w:noWrap/>
            <w:vAlign w:val="bottom"/>
            <w:hideMark/>
          </w:tcPr>
          <w:p w14:paraId="6797BE9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4377D4C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672A2D3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58161BF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633B529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75DBEA0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10AE0ED3"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007B66EF"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78" w:type="pct"/>
            <w:tcBorders>
              <w:top w:val="nil"/>
              <w:left w:val="nil"/>
              <w:bottom w:val="nil"/>
              <w:right w:val="nil"/>
            </w:tcBorders>
            <w:shd w:val="clear" w:color="auto" w:fill="auto"/>
            <w:noWrap/>
            <w:vAlign w:val="bottom"/>
            <w:hideMark/>
          </w:tcPr>
          <w:p w14:paraId="19288DB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£3,600</w:t>
            </w:r>
          </w:p>
        </w:tc>
        <w:tc>
          <w:tcPr>
            <w:tcW w:w="352" w:type="pct"/>
            <w:tcBorders>
              <w:top w:val="nil"/>
              <w:left w:val="nil"/>
              <w:bottom w:val="nil"/>
              <w:right w:val="nil"/>
            </w:tcBorders>
            <w:shd w:val="clear" w:color="auto" w:fill="auto"/>
            <w:noWrap/>
            <w:vAlign w:val="bottom"/>
            <w:hideMark/>
          </w:tcPr>
          <w:p w14:paraId="43D20D89"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53EB94C7" w14:textId="77777777" w:rsidTr="007F44A9">
        <w:trPr>
          <w:trHeight w:val="260"/>
        </w:trPr>
        <w:tc>
          <w:tcPr>
            <w:tcW w:w="1248" w:type="pct"/>
            <w:tcBorders>
              <w:top w:val="nil"/>
              <w:left w:val="nil"/>
              <w:bottom w:val="nil"/>
              <w:right w:val="nil"/>
            </w:tcBorders>
            <w:shd w:val="clear" w:color="auto" w:fill="auto"/>
            <w:noWrap/>
            <w:vAlign w:val="bottom"/>
            <w:hideMark/>
          </w:tcPr>
          <w:p w14:paraId="70455ED8"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Non-earnings increase</w:t>
            </w:r>
          </w:p>
        </w:tc>
        <w:tc>
          <w:tcPr>
            <w:tcW w:w="378" w:type="pct"/>
            <w:tcBorders>
              <w:top w:val="nil"/>
              <w:left w:val="nil"/>
              <w:bottom w:val="nil"/>
              <w:right w:val="nil"/>
            </w:tcBorders>
            <w:shd w:val="clear" w:color="auto" w:fill="auto"/>
            <w:noWrap/>
            <w:vAlign w:val="bottom"/>
            <w:hideMark/>
          </w:tcPr>
          <w:p w14:paraId="3054777C"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3378A2F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611C70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630D792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16EE126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4643F013"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375DE4C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281E013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2221051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52" w:type="pct"/>
            <w:tcBorders>
              <w:top w:val="nil"/>
              <w:left w:val="nil"/>
              <w:bottom w:val="nil"/>
              <w:right w:val="nil"/>
            </w:tcBorders>
            <w:shd w:val="clear" w:color="auto" w:fill="auto"/>
            <w:noWrap/>
            <w:vAlign w:val="bottom"/>
            <w:hideMark/>
          </w:tcPr>
          <w:p w14:paraId="67CD8EC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r>
      <w:tr w:rsidR="007F44A9" w:rsidRPr="00992EF8" w14:paraId="53882A79" w14:textId="77777777" w:rsidTr="007F44A9">
        <w:trPr>
          <w:trHeight w:val="260"/>
        </w:trPr>
        <w:tc>
          <w:tcPr>
            <w:tcW w:w="1248" w:type="pct"/>
            <w:tcBorders>
              <w:top w:val="nil"/>
              <w:left w:val="nil"/>
              <w:bottom w:val="nil"/>
              <w:right w:val="nil"/>
            </w:tcBorders>
            <w:shd w:val="clear" w:color="auto" w:fill="auto"/>
            <w:noWrap/>
            <w:vAlign w:val="bottom"/>
            <w:hideMark/>
          </w:tcPr>
          <w:p w14:paraId="0FB77561"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C1ED0F9"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1543A5EB"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5F40EA75"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586F6C49"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459A07EF"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412F2661"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48E026D0"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5A3DCFA7"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10542E8F" w14:textId="77777777" w:rsidR="007F44A9" w:rsidRPr="00992EF8" w:rsidRDefault="007F44A9" w:rsidP="007F44A9">
            <w:pPr>
              <w:rPr>
                <w:rFonts w:asciiTheme="majorHAnsi" w:eastAsia="Times New Roman" w:hAnsiTheme="majorHAnsi" w:cs="Times New Roman"/>
                <w:color w:val="000000"/>
                <w:sz w:val="19"/>
                <w:szCs w:val="19"/>
              </w:rPr>
            </w:pPr>
          </w:p>
        </w:tc>
        <w:tc>
          <w:tcPr>
            <w:tcW w:w="352" w:type="pct"/>
            <w:tcBorders>
              <w:top w:val="nil"/>
              <w:left w:val="nil"/>
              <w:bottom w:val="nil"/>
              <w:right w:val="nil"/>
            </w:tcBorders>
            <w:shd w:val="clear" w:color="auto" w:fill="auto"/>
            <w:noWrap/>
            <w:vAlign w:val="bottom"/>
            <w:hideMark/>
          </w:tcPr>
          <w:p w14:paraId="088AE537"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1FE63B66" w14:textId="77777777" w:rsidTr="007F44A9">
        <w:trPr>
          <w:trHeight w:val="340"/>
        </w:trPr>
        <w:tc>
          <w:tcPr>
            <w:tcW w:w="1248" w:type="pct"/>
            <w:tcBorders>
              <w:top w:val="nil"/>
              <w:left w:val="nil"/>
              <w:bottom w:val="nil"/>
              <w:right w:val="nil"/>
            </w:tcBorders>
            <w:shd w:val="clear" w:color="auto" w:fill="auto"/>
            <w:noWrap/>
            <w:vAlign w:val="bottom"/>
            <w:hideMark/>
          </w:tcPr>
          <w:p w14:paraId="29D24657" w14:textId="77777777" w:rsidR="007F44A9" w:rsidRPr="00992EF8" w:rsidRDefault="007F44A9" w:rsidP="007F44A9">
            <w:pPr>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ISA Allowances</w:t>
            </w:r>
          </w:p>
        </w:tc>
        <w:tc>
          <w:tcPr>
            <w:tcW w:w="378" w:type="pct"/>
            <w:tcBorders>
              <w:top w:val="nil"/>
              <w:left w:val="nil"/>
              <w:bottom w:val="nil"/>
              <w:right w:val="nil"/>
            </w:tcBorders>
            <w:shd w:val="clear" w:color="auto" w:fill="auto"/>
            <w:noWrap/>
            <w:vAlign w:val="bottom"/>
            <w:hideMark/>
          </w:tcPr>
          <w:p w14:paraId="02E13E0B"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1615D596"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5EAF87B3"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0EF5D551"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08053E80"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4C3B5F35"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1CC062A0"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1B945CF5"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78" w:type="pct"/>
            <w:tcBorders>
              <w:top w:val="nil"/>
              <w:left w:val="nil"/>
              <w:bottom w:val="nil"/>
              <w:right w:val="nil"/>
            </w:tcBorders>
            <w:shd w:val="clear" w:color="auto" w:fill="auto"/>
            <w:noWrap/>
            <w:vAlign w:val="bottom"/>
            <w:hideMark/>
          </w:tcPr>
          <w:p w14:paraId="25BEEBC3" w14:textId="77777777" w:rsidR="007F44A9" w:rsidRPr="00992EF8" w:rsidRDefault="007F44A9" w:rsidP="007F44A9">
            <w:pPr>
              <w:jc w:val="right"/>
              <w:rPr>
                <w:rFonts w:asciiTheme="majorHAnsi" w:eastAsia="Times New Roman" w:hAnsiTheme="majorHAnsi" w:cs="Times New Roman"/>
                <w:b/>
                <w:bCs/>
                <w:color w:val="0B0C0C"/>
                <w:sz w:val="19"/>
                <w:szCs w:val="19"/>
              </w:rPr>
            </w:pPr>
          </w:p>
        </w:tc>
        <w:tc>
          <w:tcPr>
            <w:tcW w:w="352" w:type="pct"/>
            <w:tcBorders>
              <w:top w:val="nil"/>
              <w:left w:val="nil"/>
              <w:bottom w:val="nil"/>
              <w:right w:val="nil"/>
            </w:tcBorders>
            <w:shd w:val="clear" w:color="auto" w:fill="auto"/>
            <w:noWrap/>
            <w:vAlign w:val="bottom"/>
            <w:hideMark/>
          </w:tcPr>
          <w:p w14:paraId="286759A1" w14:textId="77777777" w:rsidR="007F44A9" w:rsidRPr="00992EF8" w:rsidRDefault="007F44A9" w:rsidP="007F44A9">
            <w:pPr>
              <w:jc w:val="right"/>
              <w:rPr>
                <w:rFonts w:asciiTheme="majorHAnsi" w:eastAsia="Times New Roman" w:hAnsiTheme="majorHAnsi" w:cs="Times New Roman"/>
                <w:b/>
                <w:bCs/>
                <w:color w:val="0B0C0C"/>
                <w:sz w:val="19"/>
                <w:szCs w:val="19"/>
              </w:rPr>
            </w:pPr>
          </w:p>
        </w:tc>
      </w:tr>
      <w:tr w:rsidR="007F44A9" w:rsidRPr="00992EF8" w14:paraId="0D97C39F" w14:textId="77777777" w:rsidTr="007F44A9">
        <w:trPr>
          <w:trHeight w:val="260"/>
        </w:trPr>
        <w:tc>
          <w:tcPr>
            <w:tcW w:w="1248" w:type="pct"/>
            <w:tcBorders>
              <w:top w:val="nil"/>
              <w:left w:val="nil"/>
              <w:bottom w:val="nil"/>
              <w:right w:val="nil"/>
            </w:tcBorders>
            <w:shd w:val="clear" w:color="auto" w:fill="auto"/>
            <w:noWrap/>
            <w:vAlign w:val="bottom"/>
            <w:hideMark/>
          </w:tcPr>
          <w:p w14:paraId="5E817D96"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Overall ISA Subscription Limit (6)</w:t>
            </w:r>
          </w:p>
        </w:tc>
        <w:tc>
          <w:tcPr>
            <w:tcW w:w="378" w:type="pct"/>
            <w:tcBorders>
              <w:top w:val="nil"/>
              <w:left w:val="nil"/>
              <w:bottom w:val="nil"/>
              <w:right w:val="nil"/>
            </w:tcBorders>
            <w:shd w:val="clear" w:color="auto" w:fill="auto"/>
            <w:noWrap/>
            <w:vAlign w:val="bottom"/>
            <w:hideMark/>
          </w:tcPr>
          <w:p w14:paraId="28BBD2EA"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£10,200</w:t>
            </w:r>
          </w:p>
        </w:tc>
        <w:tc>
          <w:tcPr>
            <w:tcW w:w="378" w:type="pct"/>
            <w:tcBorders>
              <w:top w:val="nil"/>
              <w:left w:val="nil"/>
              <w:bottom w:val="nil"/>
              <w:right w:val="nil"/>
            </w:tcBorders>
            <w:shd w:val="clear" w:color="auto" w:fill="auto"/>
            <w:noWrap/>
            <w:vAlign w:val="bottom"/>
            <w:hideMark/>
          </w:tcPr>
          <w:p w14:paraId="4897124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£10,680</w:t>
            </w:r>
          </w:p>
        </w:tc>
        <w:tc>
          <w:tcPr>
            <w:tcW w:w="378" w:type="pct"/>
            <w:tcBorders>
              <w:top w:val="nil"/>
              <w:left w:val="nil"/>
              <w:bottom w:val="nil"/>
              <w:right w:val="nil"/>
            </w:tcBorders>
            <w:shd w:val="clear" w:color="auto" w:fill="auto"/>
            <w:noWrap/>
            <w:vAlign w:val="bottom"/>
            <w:hideMark/>
          </w:tcPr>
          <w:p w14:paraId="66A6161F"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£11,280</w:t>
            </w:r>
          </w:p>
        </w:tc>
        <w:tc>
          <w:tcPr>
            <w:tcW w:w="378" w:type="pct"/>
            <w:tcBorders>
              <w:top w:val="nil"/>
              <w:left w:val="nil"/>
              <w:bottom w:val="nil"/>
              <w:right w:val="nil"/>
            </w:tcBorders>
            <w:shd w:val="clear" w:color="auto" w:fill="auto"/>
            <w:noWrap/>
            <w:vAlign w:val="bottom"/>
            <w:hideMark/>
          </w:tcPr>
          <w:p w14:paraId="0CAB90A9"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£11,520</w:t>
            </w:r>
          </w:p>
        </w:tc>
        <w:tc>
          <w:tcPr>
            <w:tcW w:w="378" w:type="pct"/>
            <w:tcBorders>
              <w:top w:val="nil"/>
              <w:left w:val="nil"/>
              <w:bottom w:val="nil"/>
              <w:right w:val="nil"/>
            </w:tcBorders>
            <w:shd w:val="clear" w:color="auto" w:fill="auto"/>
            <w:noWrap/>
            <w:vAlign w:val="bottom"/>
            <w:hideMark/>
          </w:tcPr>
          <w:p w14:paraId="2CD95E5D"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£15,000</w:t>
            </w:r>
          </w:p>
        </w:tc>
        <w:tc>
          <w:tcPr>
            <w:tcW w:w="378" w:type="pct"/>
            <w:tcBorders>
              <w:top w:val="nil"/>
              <w:left w:val="nil"/>
              <w:bottom w:val="nil"/>
              <w:right w:val="nil"/>
            </w:tcBorders>
            <w:shd w:val="clear" w:color="auto" w:fill="auto"/>
            <w:noWrap/>
            <w:vAlign w:val="bottom"/>
            <w:hideMark/>
          </w:tcPr>
          <w:p w14:paraId="2A05EDC1"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£15,240</w:t>
            </w:r>
          </w:p>
        </w:tc>
        <w:tc>
          <w:tcPr>
            <w:tcW w:w="378" w:type="pct"/>
            <w:tcBorders>
              <w:top w:val="nil"/>
              <w:left w:val="nil"/>
              <w:bottom w:val="nil"/>
              <w:right w:val="nil"/>
            </w:tcBorders>
            <w:shd w:val="clear" w:color="auto" w:fill="auto"/>
            <w:noWrap/>
            <w:vAlign w:val="bottom"/>
            <w:hideMark/>
          </w:tcPr>
          <w:p w14:paraId="407EC208"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£15,240</w:t>
            </w:r>
          </w:p>
        </w:tc>
        <w:tc>
          <w:tcPr>
            <w:tcW w:w="378" w:type="pct"/>
            <w:tcBorders>
              <w:top w:val="nil"/>
              <w:left w:val="nil"/>
              <w:bottom w:val="nil"/>
              <w:right w:val="nil"/>
            </w:tcBorders>
            <w:shd w:val="clear" w:color="auto" w:fill="auto"/>
            <w:noWrap/>
            <w:vAlign w:val="bottom"/>
            <w:hideMark/>
          </w:tcPr>
          <w:p w14:paraId="59E67A3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£20,000</w:t>
            </w:r>
          </w:p>
        </w:tc>
        <w:tc>
          <w:tcPr>
            <w:tcW w:w="378" w:type="pct"/>
            <w:tcBorders>
              <w:top w:val="nil"/>
              <w:left w:val="nil"/>
              <w:bottom w:val="nil"/>
              <w:right w:val="nil"/>
            </w:tcBorders>
            <w:shd w:val="clear" w:color="auto" w:fill="auto"/>
            <w:noWrap/>
            <w:vAlign w:val="bottom"/>
            <w:hideMark/>
          </w:tcPr>
          <w:p w14:paraId="79EC14A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£20,000</w:t>
            </w:r>
          </w:p>
        </w:tc>
        <w:tc>
          <w:tcPr>
            <w:tcW w:w="352" w:type="pct"/>
            <w:tcBorders>
              <w:top w:val="nil"/>
              <w:left w:val="nil"/>
              <w:bottom w:val="nil"/>
              <w:right w:val="nil"/>
            </w:tcBorders>
            <w:shd w:val="clear" w:color="auto" w:fill="auto"/>
            <w:noWrap/>
            <w:vAlign w:val="bottom"/>
            <w:hideMark/>
          </w:tcPr>
          <w:p w14:paraId="70E14818" w14:textId="77777777" w:rsidR="007F44A9" w:rsidRPr="00992EF8" w:rsidRDefault="007F44A9" w:rsidP="007F44A9">
            <w:pPr>
              <w:rPr>
                <w:rFonts w:asciiTheme="majorHAnsi" w:eastAsia="Times New Roman" w:hAnsiTheme="majorHAnsi" w:cs="Times New Roman"/>
                <w:color w:val="000000"/>
                <w:sz w:val="19"/>
                <w:szCs w:val="19"/>
              </w:rPr>
            </w:pPr>
          </w:p>
        </w:tc>
      </w:tr>
      <w:tr w:rsidR="007F44A9" w:rsidRPr="00992EF8" w14:paraId="0BA146A0" w14:textId="77777777" w:rsidTr="007F44A9">
        <w:trPr>
          <w:trHeight w:val="260"/>
        </w:trPr>
        <w:tc>
          <w:tcPr>
            <w:tcW w:w="1248" w:type="pct"/>
            <w:tcBorders>
              <w:top w:val="nil"/>
              <w:left w:val="nil"/>
              <w:bottom w:val="nil"/>
              <w:right w:val="nil"/>
            </w:tcBorders>
            <w:shd w:val="clear" w:color="auto" w:fill="auto"/>
            <w:noWrap/>
            <w:vAlign w:val="bottom"/>
            <w:hideMark/>
          </w:tcPr>
          <w:p w14:paraId="12386AD4"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CGT Increase</w:t>
            </w:r>
          </w:p>
        </w:tc>
        <w:tc>
          <w:tcPr>
            <w:tcW w:w="378" w:type="pct"/>
            <w:tcBorders>
              <w:top w:val="nil"/>
              <w:left w:val="nil"/>
              <w:bottom w:val="nil"/>
              <w:right w:val="nil"/>
            </w:tcBorders>
            <w:shd w:val="clear" w:color="auto" w:fill="auto"/>
            <w:noWrap/>
            <w:vAlign w:val="bottom"/>
            <w:hideMark/>
          </w:tcPr>
          <w:p w14:paraId="1967061C"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2062116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4.71%</w:t>
            </w:r>
          </w:p>
        </w:tc>
        <w:tc>
          <w:tcPr>
            <w:tcW w:w="378" w:type="pct"/>
            <w:tcBorders>
              <w:top w:val="nil"/>
              <w:left w:val="nil"/>
              <w:bottom w:val="nil"/>
              <w:right w:val="nil"/>
            </w:tcBorders>
            <w:shd w:val="clear" w:color="auto" w:fill="auto"/>
            <w:noWrap/>
            <w:vAlign w:val="bottom"/>
            <w:hideMark/>
          </w:tcPr>
          <w:p w14:paraId="6D425CD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5.62%</w:t>
            </w:r>
          </w:p>
        </w:tc>
        <w:tc>
          <w:tcPr>
            <w:tcW w:w="378" w:type="pct"/>
            <w:tcBorders>
              <w:top w:val="nil"/>
              <w:left w:val="nil"/>
              <w:bottom w:val="nil"/>
              <w:right w:val="nil"/>
            </w:tcBorders>
            <w:shd w:val="clear" w:color="auto" w:fill="auto"/>
            <w:noWrap/>
            <w:vAlign w:val="bottom"/>
            <w:hideMark/>
          </w:tcPr>
          <w:p w14:paraId="25F11F7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2.13%</w:t>
            </w:r>
          </w:p>
        </w:tc>
        <w:tc>
          <w:tcPr>
            <w:tcW w:w="378" w:type="pct"/>
            <w:tcBorders>
              <w:top w:val="nil"/>
              <w:left w:val="nil"/>
              <w:bottom w:val="nil"/>
              <w:right w:val="nil"/>
            </w:tcBorders>
            <w:shd w:val="clear" w:color="auto" w:fill="auto"/>
            <w:noWrap/>
            <w:vAlign w:val="bottom"/>
            <w:hideMark/>
          </w:tcPr>
          <w:p w14:paraId="2E51E7D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30.21%</w:t>
            </w:r>
          </w:p>
        </w:tc>
        <w:tc>
          <w:tcPr>
            <w:tcW w:w="378" w:type="pct"/>
            <w:tcBorders>
              <w:top w:val="nil"/>
              <w:left w:val="nil"/>
              <w:bottom w:val="nil"/>
              <w:right w:val="nil"/>
            </w:tcBorders>
            <w:shd w:val="clear" w:color="auto" w:fill="auto"/>
            <w:noWrap/>
            <w:vAlign w:val="bottom"/>
            <w:hideMark/>
          </w:tcPr>
          <w:p w14:paraId="1737C606"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1.60%</w:t>
            </w:r>
          </w:p>
        </w:tc>
        <w:tc>
          <w:tcPr>
            <w:tcW w:w="378" w:type="pct"/>
            <w:tcBorders>
              <w:top w:val="nil"/>
              <w:left w:val="nil"/>
              <w:bottom w:val="nil"/>
              <w:right w:val="nil"/>
            </w:tcBorders>
            <w:shd w:val="clear" w:color="auto" w:fill="auto"/>
            <w:noWrap/>
            <w:vAlign w:val="bottom"/>
            <w:hideMark/>
          </w:tcPr>
          <w:p w14:paraId="51B4A06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19799F0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31.23%</w:t>
            </w:r>
          </w:p>
        </w:tc>
        <w:tc>
          <w:tcPr>
            <w:tcW w:w="378" w:type="pct"/>
            <w:tcBorders>
              <w:top w:val="nil"/>
              <w:left w:val="nil"/>
              <w:bottom w:val="nil"/>
              <w:right w:val="nil"/>
            </w:tcBorders>
            <w:shd w:val="clear" w:color="auto" w:fill="auto"/>
            <w:noWrap/>
            <w:vAlign w:val="bottom"/>
            <w:hideMark/>
          </w:tcPr>
          <w:p w14:paraId="69D697B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52" w:type="pct"/>
            <w:tcBorders>
              <w:top w:val="nil"/>
              <w:left w:val="nil"/>
              <w:bottom w:val="nil"/>
              <w:right w:val="nil"/>
            </w:tcBorders>
            <w:shd w:val="clear" w:color="auto" w:fill="auto"/>
            <w:noWrap/>
            <w:vAlign w:val="bottom"/>
            <w:hideMark/>
          </w:tcPr>
          <w:p w14:paraId="688684C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9.44%</w:t>
            </w:r>
          </w:p>
        </w:tc>
      </w:tr>
      <w:tr w:rsidR="007F44A9" w:rsidRPr="00992EF8" w14:paraId="19BDFA4A" w14:textId="77777777" w:rsidTr="007F44A9">
        <w:trPr>
          <w:trHeight w:val="260"/>
        </w:trPr>
        <w:tc>
          <w:tcPr>
            <w:tcW w:w="1248" w:type="pct"/>
            <w:tcBorders>
              <w:top w:val="nil"/>
              <w:left w:val="nil"/>
              <w:bottom w:val="nil"/>
              <w:right w:val="nil"/>
            </w:tcBorders>
            <w:shd w:val="clear" w:color="auto" w:fill="auto"/>
            <w:noWrap/>
            <w:vAlign w:val="bottom"/>
            <w:hideMark/>
          </w:tcPr>
          <w:p w14:paraId="451F2AA9"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7B47A9F"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1D10ED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C320E5E"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775DE69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86422C4"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496B96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5539C75"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73A5E78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EB01AA2"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04FA849C"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0034A1E3" w14:textId="77777777" w:rsidTr="00F63DD3">
        <w:trPr>
          <w:trHeight w:val="340"/>
        </w:trPr>
        <w:tc>
          <w:tcPr>
            <w:tcW w:w="1625" w:type="pct"/>
            <w:gridSpan w:val="2"/>
            <w:tcBorders>
              <w:top w:val="nil"/>
              <w:left w:val="nil"/>
              <w:bottom w:val="nil"/>
              <w:right w:val="nil"/>
            </w:tcBorders>
            <w:shd w:val="clear" w:color="auto" w:fill="auto"/>
            <w:noWrap/>
            <w:vAlign w:val="bottom"/>
            <w:hideMark/>
          </w:tcPr>
          <w:p w14:paraId="2837A367" w14:textId="14EABEC1" w:rsidR="007F44A9" w:rsidRPr="00992EF8" w:rsidRDefault="007F44A9" w:rsidP="00F63DD3">
            <w:pPr>
              <w:rPr>
                <w:rFonts w:asciiTheme="majorHAnsi" w:eastAsia="Times New Roman" w:hAnsiTheme="majorHAnsi" w:cs="Times New Roman"/>
                <w:b/>
                <w:bCs/>
                <w:color w:val="0B0C0C"/>
                <w:sz w:val="22"/>
                <w:szCs w:val="22"/>
              </w:rPr>
            </w:pPr>
            <w:r w:rsidRPr="00992EF8">
              <w:rPr>
                <w:rFonts w:asciiTheme="majorHAnsi" w:eastAsia="Times New Roman" w:hAnsiTheme="majorHAnsi" w:cs="Times New Roman"/>
                <w:b/>
                <w:bCs/>
                <w:color w:val="0B0C0C"/>
                <w:sz w:val="22"/>
                <w:szCs w:val="22"/>
              </w:rPr>
              <w:t xml:space="preserve">National Insurance </w:t>
            </w:r>
            <w:r w:rsidR="00F63DD3" w:rsidRPr="00992EF8">
              <w:rPr>
                <w:rFonts w:asciiTheme="majorHAnsi" w:eastAsia="Times New Roman" w:hAnsiTheme="majorHAnsi" w:cs="Times New Roman"/>
                <w:b/>
                <w:bCs/>
                <w:color w:val="0B0C0C"/>
                <w:sz w:val="22"/>
                <w:szCs w:val="22"/>
              </w:rPr>
              <w:t>Allowances</w:t>
            </w:r>
          </w:p>
        </w:tc>
        <w:tc>
          <w:tcPr>
            <w:tcW w:w="378" w:type="pct"/>
            <w:tcBorders>
              <w:top w:val="nil"/>
              <w:left w:val="nil"/>
              <w:bottom w:val="nil"/>
              <w:right w:val="nil"/>
            </w:tcBorders>
            <w:shd w:val="clear" w:color="auto" w:fill="auto"/>
            <w:noWrap/>
            <w:vAlign w:val="bottom"/>
            <w:hideMark/>
          </w:tcPr>
          <w:p w14:paraId="79847AEF"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6A6D1ED4"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77449C87"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1E35EE5E"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1606416D"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0908ABB2"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2CAF8EE0"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78" w:type="pct"/>
            <w:tcBorders>
              <w:top w:val="nil"/>
              <w:left w:val="nil"/>
              <w:bottom w:val="nil"/>
              <w:right w:val="nil"/>
            </w:tcBorders>
            <w:shd w:val="clear" w:color="auto" w:fill="auto"/>
            <w:noWrap/>
            <w:vAlign w:val="bottom"/>
            <w:hideMark/>
          </w:tcPr>
          <w:p w14:paraId="6608FE97" w14:textId="77777777" w:rsidR="007F44A9" w:rsidRPr="00992EF8" w:rsidRDefault="007F44A9" w:rsidP="007F44A9">
            <w:pPr>
              <w:jc w:val="right"/>
              <w:rPr>
                <w:rFonts w:asciiTheme="majorHAnsi" w:eastAsia="Times New Roman" w:hAnsiTheme="majorHAnsi" w:cs="Times New Roman"/>
                <w:b/>
                <w:bCs/>
                <w:color w:val="0B0C0C"/>
                <w:sz w:val="20"/>
                <w:szCs w:val="20"/>
              </w:rPr>
            </w:pPr>
          </w:p>
        </w:tc>
        <w:tc>
          <w:tcPr>
            <w:tcW w:w="352" w:type="pct"/>
            <w:tcBorders>
              <w:top w:val="nil"/>
              <w:left w:val="nil"/>
              <w:bottom w:val="nil"/>
              <w:right w:val="nil"/>
            </w:tcBorders>
            <w:shd w:val="clear" w:color="auto" w:fill="auto"/>
            <w:noWrap/>
            <w:vAlign w:val="bottom"/>
            <w:hideMark/>
          </w:tcPr>
          <w:p w14:paraId="021BD12F" w14:textId="77777777" w:rsidR="007F44A9" w:rsidRPr="00992EF8" w:rsidRDefault="007F44A9" w:rsidP="007F44A9">
            <w:pPr>
              <w:jc w:val="right"/>
              <w:rPr>
                <w:rFonts w:asciiTheme="majorHAnsi" w:eastAsia="Times New Roman" w:hAnsiTheme="majorHAnsi" w:cs="Times New Roman"/>
                <w:b/>
                <w:bCs/>
                <w:color w:val="0B0C0C"/>
                <w:sz w:val="26"/>
                <w:szCs w:val="26"/>
              </w:rPr>
            </w:pPr>
          </w:p>
        </w:tc>
      </w:tr>
      <w:tr w:rsidR="00F63DD3" w:rsidRPr="00992EF8" w14:paraId="4D401614" w14:textId="77777777" w:rsidTr="007F44A9">
        <w:trPr>
          <w:trHeight w:val="260"/>
        </w:trPr>
        <w:tc>
          <w:tcPr>
            <w:tcW w:w="1248" w:type="pct"/>
            <w:tcBorders>
              <w:top w:val="nil"/>
              <w:left w:val="nil"/>
              <w:bottom w:val="nil"/>
              <w:right w:val="nil"/>
            </w:tcBorders>
            <w:shd w:val="clear" w:color="auto" w:fill="auto"/>
            <w:noWrap/>
            <w:vAlign w:val="bottom"/>
            <w:hideMark/>
          </w:tcPr>
          <w:p w14:paraId="7E334294" w14:textId="77777777" w:rsidR="00F63DD3" w:rsidRPr="00992EF8" w:rsidRDefault="00F63DD3"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Class 1 Primary Threshold (7)</w:t>
            </w:r>
          </w:p>
        </w:tc>
        <w:tc>
          <w:tcPr>
            <w:tcW w:w="378" w:type="pct"/>
            <w:tcBorders>
              <w:top w:val="nil"/>
              <w:left w:val="nil"/>
              <w:bottom w:val="nil"/>
              <w:right w:val="nil"/>
            </w:tcBorders>
            <w:shd w:val="clear" w:color="auto" w:fill="auto"/>
            <w:noWrap/>
            <w:vAlign w:val="bottom"/>
            <w:hideMark/>
          </w:tcPr>
          <w:p w14:paraId="0F8E12B0" w14:textId="45E1F56E"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£110</w:t>
            </w:r>
          </w:p>
        </w:tc>
        <w:tc>
          <w:tcPr>
            <w:tcW w:w="378" w:type="pct"/>
            <w:tcBorders>
              <w:top w:val="nil"/>
              <w:left w:val="nil"/>
              <w:bottom w:val="nil"/>
              <w:right w:val="nil"/>
            </w:tcBorders>
            <w:shd w:val="clear" w:color="auto" w:fill="auto"/>
            <w:noWrap/>
            <w:vAlign w:val="bottom"/>
            <w:hideMark/>
          </w:tcPr>
          <w:p w14:paraId="586F9505" w14:textId="4DA166C7"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£139</w:t>
            </w:r>
          </w:p>
        </w:tc>
        <w:tc>
          <w:tcPr>
            <w:tcW w:w="378" w:type="pct"/>
            <w:tcBorders>
              <w:top w:val="nil"/>
              <w:left w:val="nil"/>
              <w:bottom w:val="nil"/>
              <w:right w:val="nil"/>
            </w:tcBorders>
            <w:shd w:val="clear" w:color="auto" w:fill="auto"/>
            <w:noWrap/>
            <w:vAlign w:val="bottom"/>
            <w:hideMark/>
          </w:tcPr>
          <w:p w14:paraId="4BB4CBAA" w14:textId="06B3E9EC"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£146</w:t>
            </w:r>
          </w:p>
        </w:tc>
        <w:tc>
          <w:tcPr>
            <w:tcW w:w="378" w:type="pct"/>
            <w:tcBorders>
              <w:top w:val="nil"/>
              <w:left w:val="nil"/>
              <w:bottom w:val="nil"/>
              <w:right w:val="nil"/>
            </w:tcBorders>
            <w:shd w:val="clear" w:color="auto" w:fill="auto"/>
            <w:noWrap/>
            <w:vAlign w:val="bottom"/>
            <w:hideMark/>
          </w:tcPr>
          <w:p w14:paraId="71F61358" w14:textId="0B0D4AA8"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£149</w:t>
            </w:r>
          </w:p>
        </w:tc>
        <w:tc>
          <w:tcPr>
            <w:tcW w:w="378" w:type="pct"/>
            <w:tcBorders>
              <w:top w:val="nil"/>
              <w:left w:val="nil"/>
              <w:bottom w:val="nil"/>
              <w:right w:val="nil"/>
            </w:tcBorders>
            <w:shd w:val="clear" w:color="auto" w:fill="auto"/>
            <w:noWrap/>
            <w:vAlign w:val="bottom"/>
            <w:hideMark/>
          </w:tcPr>
          <w:p w14:paraId="085107F7" w14:textId="48F1D562"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£153</w:t>
            </w:r>
          </w:p>
        </w:tc>
        <w:tc>
          <w:tcPr>
            <w:tcW w:w="378" w:type="pct"/>
            <w:tcBorders>
              <w:top w:val="nil"/>
              <w:left w:val="nil"/>
              <w:bottom w:val="nil"/>
              <w:right w:val="nil"/>
            </w:tcBorders>
            <w:shd w:val="clear" w:color="auto" w:fill="auto"/>
            <w:noWrap/>
            <w:vAlign w:val="bottom"/>
            <w:hideMark/>
          </w:tcPr>
          <w:p w14:paraId="27AB3EE9" w14:textId="45B2816E"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£155</w:t>
            </w:r>
          </w:p>
        </w:tc>
        <w:tc>
          <w:tcPr>
            <w:tcW w:w="378" w:type="pct"/>
            <w:tcBorders>
              <w:top w:val="nil"/>
              <w:left w:val="nil"/>
              <w:bottom w:val="nil"/>
              <w:right w:val="nil"/>
            </w:tcBorders>
            <w:shd w:val="clear" w:color="auto" w:fill="auto"/>
            <w:noWrap/>
            <w:vAlign w:val="bottom"/>
            <w:hideMark/>
          </w:tcPr>
          <w:p w14:paraId="6F99429D" w14:textId="1057454D"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£155</w:t>
            </w:r>
          </w:p>
        </w:tc>
        <w:tc>
          <w:tcPr>
            <w:tcW w:w="378" w:type="pct"/>
            <w:tcBorders>
              <w:top w:val="nil"/>
              <w:left w:val="nil"/>
              <w:bottom w:val="nil"/>
              <w:right w:val="nil"/>
            </w:tcBorders>
            <w:shd w:val="clear" w:color="auto" w:fill="auto"/>
            <w:noWrap/>
            <w:vAlign w:val="bottom"/>
            <w:hideMark/>
          </w:tcPr>
          <w:p w14:paraId="659D764C" w14:textId="4C5BC1D3"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£157</w:t>
            </w:r>
          </w:p>
        </w:tc>
        <w:tc>
          <w:tcPr>
            <w:tcW w:w="378" w:type="pct"/>
            <w:tcBorders>
              <w:top w:val="nil"/>
              <w:left w:val="nil"/>
              <w:bottom w:val="nil"/>
              <w:right w:val="nil"/>
            </w:tcBorders>
            <w:shd w:val="clear" w:color="auto" w:fill="auto"/>
            <w:noWrap/>
            <w:vAlign w:val="bottom"/>
            <w:hideMark/>
          </w:tcPr>
          <w:p w14:paraId="64D025C9" w14:textId="44FAD04F"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£162</w:t>
            </w:r>
          </w:p>
        </w:tc>
        <w:tc>
          <w:tcPr>
            <w:tcW w:w="352" w:type="pct"/>
            <w:tcBorders>
              <w:top w:val="nil"/>
              <w:left w:val="nil"/>
              <w:bottom w:val="nil"/>
              <w:right w:val="nil"/>
            </w:tcBorders>
            <w:shd w:val="clear" w:color="auto" w:fill="auto"/>
            <w:noWrap/>
            <w:vAlign w:val="bottom"/>
            <w:hideMark/>
          </w:tcPr>
          <w:p w14:paraId="20468A9B" w14:textId="77777777" w:rsidR="00F63DD3" w:rsidRPr="00992EF8" w:rsidRDefault="00F63DD3" w:rsidP="007F44A9">
            <w:pPr>
              <w:rPr>
                <w:rFonts w:asciiTheme="majorHAnsi" w:eastAsia="Times New Roman" w:hAnsiTheme="majorHAnsi" w:cs="Times New Roman"/>
                <w:color w:val="000000"/>
                <w:sz w:val="19"/>
                <w:szCs w:val="19"/>
              </w:rPr>
            </w:pPr>
          </w:p>
        </w:tc>
      </w:tr>
      <w:tr w:rsidR="007F44A9" w:rsidRPr="00992EF8" w14:paraId="029A8C76" w14:textId="77777777" w:rsidTr="007F44A9">
        <w:trPr>
          <w:trHeight w:val="260"/>
        </w:trPr>
        <w:tc>
          <w:tcPr>
            <w:tcW w:w="1248" w:type="pct"/>
            <w:tcBorders>
              <w:top w:val="nil"/>
              <w:left w:val="nil"/>
              <w:bottom w:val="nil"/>
              <w:right w:val="nil"/>
            </w:tcBorders>
            <w:shd w:val="clear" w:color="auto" w:fill="auto"/>
            <w:noWrap/>
            <w:vAlign w:val="bottom"/>
            <w:hideMark/>
          </w:tcPr>
          <w:p w14:paraId="2E9BD8D4"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Class 1 Increase</w:t>
            </w:r>
          </w:p>
        </w:tc>
        <w:tc>
          <w:tcPr>
            <w:tcW w:w="378" w:type="pct"/>
            <w:tcBorders>
              <w:top w:val="nil"/>
              <w:left w:val="nil"/>
              <w:bottom w:val="nil"/>
              <w:right w:val="nil"/>
            </w:tcBorders>
            <w:shd w:val="clear" w:color="auto" w:fill="auto"/>
            <w:noWrap/>
            <w:vAlign w:val="bottom"/>
            <w:hideMark/>
          </w:tcPr>
          <w:p w14:paraId="2BDA1582" w14:textId="77777777" w:rsidR="007F44A9" w:rsidRPr="00992EF8" w:rsidRDefault="007F44A9" w:rsidP="007F44A9">
            <w:pPr>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hideMark/>
          </w:tcPr>
          <w:p w14:paraId="6877E38E"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26.36%</w:t>
            </w:r>
          </w:p>
        </w:tc>
        <w:tc>
          <w:tcPr>
            <w:tcW w:w="378" w:type="pct"/>
            <w:tcBorders>
              <w:top w:val="nil"/>
              <w:left w:val="nil"/>
              <w:bottom w:val="nil"/>
              <w:right w:val="nil"/>
            </w:tcBorders>
            <w:shd w:val="clear" w:color="auto" w:fill="auto"/>
            <w:noWrap/>
            <w:vAlign w:val="bottom"/>
            <w:hideMark/>
          </w:tcPr>
          <w:p w14:paraId="5A61BBCA"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5.04%</w:t>
            </w:r>
          </w:p>
        </w:tc>
        <w:tc>
          <w:tcPr>
            <w:tcW w:w="378" w:type="pct"/>
            <w:tcBorders>
              <w:top w:val="nil"/>
              <w:left w:val="nil"/>
              <w:bottom w:val="nil"/>
              <w:right w:val="nil"/>
            </w:tcBorders>
            <w:shd w:val="clear" w:color="auto" w:fill="auto"/>
            <w:noWrap/>
            <w:vAlign w:val="bottom"/>
            <w:hideMark/>
          </w:tcPr>
          <w:p w14:paraId="726E223A"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2.05%</w:t>
            </w:r>
          </w:p>
        </w:tc>
        <w:tc>
          <w:tcPr>
            <w:tcW w:w="378" w:type="pct"/>
            <w:tcBorders>
              <w:top w:val="nil"/>
              <w:left w:val="nil"/>
              <w:bottom w:val="nil"/>
              <w:right w:val="nil"/>
            </w:tcBorders>
            <w:shd w:val="clear" w:color="auto" w:fill="auto"/>
            <w:noWrap/>
            <w:vAlign w:val="bottom"/>
            <w:hideMark/>
          </w:tcPr>
          <w:p w14:paraId="0623EFDA"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2.68%</w:t>
            </w:r>
          </w:p>
        </w:tc>
        <w:tc>
          <w:tcPr>
            <w:tcW w:w="378" w:type="pct"/>
            <w:tcBorders>
              <w:top w:val="nil"/>
              <w:left w:val="nil"/>
              <w:bottom w:val="nil"/>
              <w:right w:val="nil"/>
            </w:tcBorders>
            <w:shd w:val="clear" w:color="auto" w:fill="auto"/>
            <w:noWrap/>
            <w:vAlign w:val="bottom"/>
            <w:hideMark/>
          </w:tcPr>
          <w:p w14:paraId="2BB53D83"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1.31%</w:t>
            </w:r>
          </w:p>
        </w:tc>
        <w:tc>
          <w:tcPr>
            <w:tcW w:w="378" w:type="pct"/>
            <w:tcBorders>
              <w:top w:val="nil"/>
              <w:left w:val="nil"/>
              <w:bottom w:val="nil"/>
              <w:right w:val="nil"/>
            </w:tcBorders>
            <w:shd w:val="clear" w:color="auto" w:fill="auto"/>
            <w:noWrap/>
            <w:vAlign w:val="bottom"/>
            <w:hideMark/>
          </w:tcPr>
          <w:p w14:paraId="630590B9"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0.00%</w:t>
            </w:r>
          </w:p>
        </w:tc>
        <w:tc>
          <w:tcPr>
            <w:tcW w:w="378" w:type="pct"/>
            <w:tcBorders>
              <w:top w:val="nil"/>
              <w:left w:val="nil"/>
              <w:bottom w:val="nil"/>
              <w:right w:val="nil"/>
            </w:tcBorders>
            <w:shd w:val="clear" w:color="auto" w:fill="auto"/>
            <w:noWrap/>
            <w:vAlign w:val="bottom"/>
            <w:hideMark/>
          </w:tcPr>
          <w:p w14:paraId="678DE3A5"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1.29%</w:t>
            </w:r>
          </w:p>
        </w:tc>
        <w:tc>
          <w:tcPr>
            <w:tcW w:w="378" w:type="pct"/>
            <w:tcBorders>
              <w:top w:val="nil"/>
              <w:left w:val="nil"/>
              <w:bottom w:val="nil"/>
              <w:right w:val="nil"/>
            </w:tcBorders>
            <w:shd w:val="clear" w:color="auto" w:fill="auto"/>
            <w:noWrap/>
            <w:vAlign w:val="bottom"/>
            <w:hideMark/>
          </w:tcPr>
          <w:p w14:paraId="496313FF" w14:textId="77777777" w:rsidR="007F44A9" w:rsidRPr="00992EF8" w:rsidRDefault="007F44A9"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3.18%</w:t>
            </w:r>
          </w:p>
        </w:tc>
        <w:tc>
          <w:tcPr>
            <w:tcW w:w="352" w:type="pct"/>
            <w:tcBorders>
              <w:top w:val="nil"/>
              <w:left w:val="nil"/>
              <w:bottom w:val="nil"/>
              <w:right w:val="nil"/>
            </w:tcBorders>
            <w:shd w:val="clear" w:color="auto" w:fill="auto"/>
            <w:noWrap/>
            <w:vAlign w:val="bottom"/>
            <w:hideMark/>
          </w:tcPr>
          <w:p w14:paraId="7902FC6B"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5.24%</w:t>
            </w:r>
          </w:p>
        </w:tc>
      </w:tr>
      <w:tr w:rsidR="007F44A9" w:rsidRPr="00992EF8" w14:paraId="649958F7" w14:textId="77777777" w:rsidTr="007F44A9">
        <w:trPr>
          <w:trHeight w:val="260"/>
        </w:trPr>
        <w:tc>
          <w:tcPr>
            <w:tcW w:w="1248" w:type="pct"/>
            <w:tcBorders>
              <w:top w:val="nil"/>
              <w:left w:val="nil"/>
              <w:bottom w:val="nil"/>
              <w:right w:val="nil"/>
            </w:tcBorders>
            <w:shd w:val="clear" w:color="auto" w:fill="auto"/>
            <w:noWrap/>
            <w:vAlign w:val="bottom"/>
          </w:tcPr>
          <w:p w14:paraId="0DA3502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tcPr>
          <w:p w14:paraId="4D46B259"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2C34D36E"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019FE74D"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6E791B42"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3717AC36"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223674F4"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1E31663F"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682C3BCD"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78" w:type="pct"/>
            <w:tcBorders>
              <w:top w:val="nil"/>
              <w:left w:val="nil"/>
              <w:bottom w:val="nil"/>
              <w:right w:val="nil"/>
            </w:tcBorders>
            <w:shd w:val="clear" w:color="auto" w:fill="auto"/>
            <w:noWrap/>
            <w:vAlign w:val="bottom"/>
          </w:tcPr>
          <w:p w14:paraId="03FF1B2A" w14:textId="77777777" w:rsidR="007F44A9" w:rsidRPr="00992EF8" w:rsidRDefault="007F44A9" w:rsidP="007F44A9">
            <w:pPr>
              <w:jc w:val="right"/>
              <w:rPr>
                <w:rFonts w:asciiTheme="majorHAnsi" w:eastAsia="Times New Roman" w:hAnsiTheme="majorHAnsi" w:cs="Times New Roman"/>
                <w:color w:val="000000"/>
                <w:sz w:val="17"/>
                <w:szCs w:val="17"/>
              </w:rPr>
            </w:pPr>
          </w:p>
        </w:tc>
        <w:tc>
          <w:tcPr>
            <w:tcW w:w="352" w:type="pct"/>
            <w:tcBorders>
              <w:top w:val="nil"/>
              <w:left w:val="nil"/>
              <w:bottom w:val="nil"/>
              <w:right w:val="nil"/>
            </w:tcBorders>
            <w:shd w:val="clear" w:color="auto" w:fill="auto"/>
            <w:noWrap/>
            <w:vAlign w:val="bottom"/>
          </w:tcPr>
          <w:p w14:paraId="6CC1DF1D" w14:textId="77777777" w:rsidR="007F44A9" w:rsidRPr="00992EF8" w:rsidRDefault="007F44A9" w:rsidP="007F44A9">
            <w:pPr>
              <w:rPr>
                <w:rFonts w:asciiTheme="majorHAnsi" w:eastAsia="Times New Roman" w:hAnsiTheme="majorHAnsi" w:cs="Times New Roman"/>
                <w:color w:val="000000"/>
                <w:sz w:val="19"/>
                <w:szCs w:val="19"/>
              </w:rPr>
            </w:pPr>
          </w:p>
        </w:tc>
      </w:tr>
      <w:tr w:rsidR="00F63DD3" w:rsidRPr="00992EF8" w14:paraId="048B1C4E" w14:textId="77777777" w:rsidTr="007F44A9">
        <w:trPr>
          <w:trHeight w:val="260"/>
        </w:trPr>
        <w:tc>
          <w:tcPr>
            <w:tcW w:w="1248" w:type="pct"/>
            <w:tcBorders>
              <w:top w:val="nil"/>
              <w:left w:val="nil"/>
              <w:bottom w:val="nil"/>
              <w:right w:val="nil"/>
            </w:tcBorders>
            <w:shd w:val="clear" w:color="auto" w:fill="auto"/>
            <w:noWrap/>
            <w:vAlign w:val="bottom"/>
            <w:hideMark/>
          </w:tcPr>
          <w:p w14:paraId="7E0B3A71" w14:textId="77777777" w:rsidR="00F63DD3" w:rsidRPr="00992EF8" w:rsidRDefault="00F63DD3"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Class 2 + 4 Small Profits Threshold (7)</w:t>
            </w:r>
          </w:p>
        </w:tc>
        <w:tc>
          <w:tcPr>
            <w:tcW w:w="378" w:type="pct"/>
            <w:tcBorders>
              <w:top w:val="nil"/>
              <w:left w:val="nil"/>
              <w:bottom w:val="nil"/>
              <w:right w:val="nil"/>
            </w:tcBorders>
            <w:shd w:val="clear" w:color="auto" w:fill="auto"/>
            <w:noWrap/>
            <w:vAlign w:val="bottom"/>
            <w:hideMark/>
          </w:tcPr>
          <w:p w14:paraId="0FCE0E5F" w14:textId="6E131307"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£5,075</w:t>
            </w:r>
          </w:p>
        </w:tc>
        <w:tc>
          <w:tcPr>
            <w:tcW w:w="378" w:type="pct"/>
            <w:tcBorders>
              <w:top w:val="nil"/>
              <w:left w:val="nil"/>
              <w:bottom w:val="nil"/>
              <w:right w:val="nil"/>
            </w:tcBorders>
            <w:shd w:val="clear" w:color="auto" w:fill="auto"/>
            <w:noWrap/>
            <w:vAlign w:val="bottom"/>
            <w:hideMark/>
          </w:tcPr>
          <w:p w14:paraId="6F0A0CBA" w14:textId="329708F2"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£5,315</w:t>
            </w:r>
          </w:p>
        </w:tc>
        <w:tc>
          <w:tcPr>
            <w:tcW w:w="378" w:type="pct"/>
            <w:tcBorders>
              <w:top w:val="nil"/>
              <w:left w:val="nil"/>
              <w:bottom w:val="nil"/>
              <w:right w:val="nil"/>
            </w:tcBorders>
            <w:shd w:val="clear" w:color="auto" w:fill="auto"/>
            <w:noWrap/>
            <w:vAlign w:val="bottom"/>
            <w:hideMark/>
          </w:tcPr>
          <w:p w14:paraId="6F9740F1" w14:textId="7895C5BB"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£5,595</w:t>
            </w:r>
          </w:p>
        </w:tc>
        <w:tc>
          <w:tcPr>
            <w:tcW w:w="378" w:type="pct"/>
            <w:tcBorders>
              <w:top w:val="nil"/>
              <w:left w:val="nil"/>
              <w:bottom w:val="nil"/>
              <w:right w:val="nil"/>
            </w:tcBorders>
            <w:shd w:val="clear" w:color="auto" w:fill="auto"/>
            <w:noWrap/>
            <w:vAlign w:val="bottom"/>
            <w:hideMark/>
          </w:tcPr>
          <w:p w14:paraId="18A343AE" w14:textId="47D80EA3"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£5,725</w:t>
            </w:r>
          </w:p>
        </w:tc>
        <w:tc>
          <w:tcPr>
            <w:tcW w:w="378" w:type="pct"/>
            <w:tcBorders>
              <w:top w:val="nil"/>
              <w:left w:val="nil"/>
              <w:bottom w:val="nil"/>
              <w:right w:val="nil"/>
            </w:tcBorders>
            <w:shd w:val="clear" w:color="auto" w:fill="auto"/>
            <w:noWrap/>
            <w:vAlign w:val="bottom"/>
            <w:hideMark/>
          </w:tcPr>
          <w:p w14:paraId="4A6833DD" w14:textId="5F58BA05"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£5,885</w:t>
            </w:r>
          </w:p>
        </w:tc>
        <w:tc>
          <w:tcPr>
            <w:tcW w:w="378" w:type="pct"/>
            <w:tcBorders>
              <w:top w:val="nil"/>
              <w:left w:val="nil"/>
              <w:bottom w:val="nil"/>
              <w:right w:val="nil"/>
            </w:tcBorders>
            <w:shd w:val="clear" w:color="auto" w:fill="auto"/>
            <w:noWrap/>
            <w:vAlign w:val="bottom"/>
            <w:hideMark/>
          </w:tcPr>
          <w:p w14:paraId="1A9A9455" w14:textId="1B4C553A"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£5,965</w:t>
            </w:r>
          </w:p>
        </w:tc>
        <w:tc>
          <w:tcPr>
            <w:tcW w:w="378" w:type="pct"/>
            <w:tcBorders>
              <w:top w:val="nil"/>
              <w:left w:val="nil"/>
              <w:bottom w:val="nil"/>
              <w:right w:val="nil"/>
            </w:tcBorders>
            <w:shd w:val="clear" w:color="auto" w:fill="auto"/>
            <w:noWrap/>
            <w:vAlign w:val="bottom"/>
            <w:hideMark/>
          </w:tcPr>
          <w:p w14:paraId="37393BB3" w14:textId="55886559"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£5,965</w:t>
            </w:r>
          </w:p>
        </w:tc>
        <w:tc>
          <w:tcPr>
            <w:tcW w:w="378" w:type="pct"/>
            <w:tcBorders>
              <w:top w:val="nil"/>
              <w:left w:val="nil"/>
              <w:bottom w:val="nil"/>
              <w:right w:val="nil"/>
            </w:tcBorders>
            <w:shd w:val="clear" w:color="auto" w:fill="auto"/>
            <w:noWrap/>
            <w:vAlign w:val="bottom"/>
            <w:hideMark/>
          </w:tcPr>
          <w:p w14:paraId="29B40C0F" w14:textId="0BCC8D41"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£6,025</w:t>
            </w:r>
          </w:p>
        </w:tc>
        <w:tc>
          <w:tcPr>
            <w:tcW w:w="378" w:type="pct"/>
            <w:tcBorders>
              <w:top w:val="nil"/>
              <w:left w:val="nil"/>
              <w:bottom w:val="nil"/>
              <w:right w:val="nil"/>
            </w:tcBorders>
            <w:shd w:val="clear" w:color="auto" w:fill="auto"/>
            <w:noWrap/>
            <w:vAlign w:val="bottom"/>
            <w:hideMark/>
          </w:tcPr>
          <w:p w14:paraId="7B3F609B" w14:textId="4462E6FD" w:rsidR="00F63DD3" w:rsidRPr="00992EF8" w:rsidRDefault="00F63DD3" w:rsidP="007F44A9">
            <w:pPr>
              <w:jc w:val="right"/>
              <w:rPr>
                <w:rFonts w:asciiTheme="majorHAnsi" w:eastAsia="Times New Roman" w:hAnsiTheme="majorHAnsi" w:cs="Times New Roman"/>
                <w:color w:val="000000"/>
                <w:sz w:val="17"/>
                <w:szCs w:val="17"/>
              </w:rPr>
            </w:pPr>
            <w:r w:rsidRPr="00992EF8">
              <w:rPr>
                <w:rFonts w:asciiTheme="majorHAnsi" w:eastAsia="Times New Roman" w:hAnsiTheme="majorHAnsi" w:cs="Times New Roman"/>
                <w:color w:val="000000"/>
                <w:sz w:val="17"/>
                <w:szCs w:val="17"/>
              </w:rPr>
              <w:t>£6,205</w:t>
            </w:r>
          </w:p>
        </w:tc>
        <w:tc>
          <w:tcPr>
            <w:tcW w:w="352" w:type="pct"/>
            <w:tcBorders>
              <w:top w:val="nil"/>
              <w:left w:val="nil"/>
              <w:bottom w:val="nil"/>
              <w:right w:val="nil"/>
            </w:tcBorders>
            <w:shd w:val="clear" w:color="auto" w:fill="auto"/>
            <w:noWrap/>
            <w:vAlign w:val="bottom"/>
            <w:hideMark/>
          </w:tcPr>
          <w:p w14:paraId="496A0D40" w14:textId="77777777" w:rsidR="00F63DD3" w:rsidRPr="00992EF8" w:rsidRDefault="00F63DD3" w:rsidP="007F44A9">
            <w:pPr>
              <w:rPr>
                <w:rFonts w:asciiTheme="majorHAnsi" w:eastAsia="Times New Roman" w:hAnsiTheme="majorHAnsi" w:cs="Times New Roman"/>
                <w:color w:val="000000"/>
                <w:sz w:val="19"/>
                <w:szCs w:val="19"/>
              </w:rPr>
            </w:pPr>
          </w:p>
        </w:tc>
      </w:tr>
      <w:tr w:rsidR="007F44A9" w:rsidRPr="00992EF8" w14:paraId="141182F3" w14:textId="77777777" w:rsidTr="007F44A9">
        <w:trPr>
          <w:trHeight w:val="260"/>
        </w:trPr>
        <w:tc>
          <w:tcPr>
            <w:tcW w:w="1248" w:type="pct"/>
            <w:tcBorders>
              <w:top w:val="nil"/>
              <w:left w:val="nil"/>
              <w:bottom w:val="nil"/>
              <w:right w:val="nil"/>
            </w:tcBorders>
            <w:shd w:val="clear" w:color="auto" w:fill="auto"/>
            <w:noWrap/>
            <w:vAlign w:val="bottom"/>
            <w:hideMark/>
          </w:tcPr>
          <w:p w14:paraId="67C99DD2"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Class 2 + 4 Increase</w:t>
            </w:r>
          </w:p>
        </w:tc>
        <w:tc>
          <w:tcPr>
            <w:tcW w:w="378" w:type="pct"/>
            <w:tcBorders>
              <w:top w:val="nil"/>
              <w:left w:val="nil"/>
              <w:bottom w:val="nil"/>
              <w:right w:val="nil"/>
            </w:tcBorders>
            <w:shd w:val="clear" w:color="auto" w:fill="auto"/>
            <w:noWrap/>
            <w:vAlign w:val="bottom"/>
            <w:hideMark/>
          </w:tcPr>
          <w:p w14:paraId="3CB8780D" w14:textId="77777777" w:rsidR="007F44A9" w:rsidRPr="00992EF8" w:rsidRDefault="007F44A9" w:rsidP="007F44A9">
            <w:pPr>
              <w:rPr>
                <w:rFonts w:asciiTheme="majorHAnsi" w:eastAsia="Times New Roman" w:hAnsiTheme="majorHAnsi" w:cs="Times New Roman"/>
                <w:color w:val="000000"/>
                <w:sz w:val="19"/>
                <w:szCs w:val="19"/>
              </w:rPr>
            </w:pPr>
          </w:p>
        </w:tc>
        <w:tc>
          <w:tcPr>
            <w:tcW w:w="378" w:type="pct"/>
            <w:tcBorders>
              <w:top w:val="nil"/>
              <w:left w:val="nil"/>
              <w:bottom w:val="nil"/>
              <w:right w:val="nil"/>
            </w:tcBorders>
            <w:shd w:val="clear" w:color="auto" w:fill="auto"/>
            <w:noWrap/>
            <w:vAlign w:val="bottom"/>
            <w:hideMark/>
          </w:tcPr>
          <w:p w14:paraId="0BE260BE"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4.73%</w:t>
            </w:r>
          </w:p>
        </w:tc>
        <w:tc>
          <w:tcPr>
            <w:tcW w:w="378" w:type="pct"/>
            <w:tcBorders>
              <w:top w:val="nil"/>
              <w:left w:val="nil"/>
              <w:bottom w:val="nil"/>
              <w:right w:val="nil"/>
            </w:tcBorders>
            <w:shd w:val="clear" w:color="auto" w:fill="auto"/>
            <w:noWrap/>
            <w:vAlign w:val="bottom"/>
            <w:hideMark/>
          </w:tcPr>
          <w:p w14:paraId="06A62095"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5.27%</w:t>
            </w:r>
          </w:p>
        </w:tc>
        <w:tc>
          <w:tcPr>
            <w:tcW w:w="378" w:type="pct"/>
            <w:tcBorders>
              <w:top w:val="nil"/>
              <w:left w:val="nil"/>
              <w:bottom w:val="nil"/>
              <w:right w:val="nil"/>
            </w:tcBorders>
            <w:shd w:val="clear" w:color="auto" w:fill="auto"/>
            <w:noWrap/>
            <w:vAlign w:val="bottom"/>
            <w:hideMark/>
          </w:tcPr>
          <w:p w14:paraId="2E3CB98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2.32%</w:t>
            </w:r>
          </w:p>
        </w:tc>
        <w:tc>
          <w:tcPr>
            <w:tcW w:w="378" w:type="pct"/>
            <w:tcBorders>
              <w:top w:val="nil"/>
              <w:left w:val="nil"/>
              <w:bottom w:val="nil"/>
              <w:right w:val="nil"/>
            </w:tcBorders>
            <w:shd w:val="clear" w:color="auto" w:fill="auto"/>
            <w:noWrap/>
            <w:vAlign w:val="bottom"/>
            <w:hideMark/>
          </w:tcPr>
          <w:p w14:paraId="6AA5B81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2.79%</w:t>
            </w:r>
          </w:p>
        </w:tc>
        <w:tc>
          <w:tcPr>
            <w:tcW w:w="378" w:type="pct"/>
            <w:tcBorders>
              <w:top w:val="nil"/>
              <w:left w:val="nil"/>
              <w:bottom w:val="nil"/>
              <w:right w:val="nil"/>
            </w:tcBorders>
            <w:shd w:val="clear" w:color="auto" w:fill="auto"/>
            <w:noWrap/>
            <w:vAlign w:val="bottom"/>
            <w:hideMark/>
          </w:tcPr>
          <w:p w14:paraId="72937070"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1.36%</w:t>
            </w:r>
          </w:p>
        </w:tc>
        <w:tc>
          <w:tcPr>
            <w:tcW w:w="378" w:type="pct"/>
            <w:tcBorders>
              <w:top w:val="nil"/>
              <w:left w:val="nil"/>
              <w:bottom w:val="nil"/>
              <w:right w:val="nil"/>
            </w:tcBorders>
            <w:shd w:val="clear" w:color="auto" w:fill="auto"/>
            <w:noWrap/>
            <w:vAlign w:val="bottom"/>
            <w:hideMark/>
          </w:tcPr>
          <w:p w14:paraId="1D4D7A17"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0.00%</w:t>
            </w:r>
          </w:p>
        </w:tc>
        <w:tc>
          <w:tcPr>
            <w:tcW w:w="378" w:type="pct"/>
            <w:tcBorders>
              <w:top w:val="nil"/>
              <w:left w:val="nil"/>
              <w:bottom w:val="nil"/>
              <w:right w:val="nil"/>
            </w:tcBorders>
            <w:shd w:val="clear" w:color="auto" w:fill="auto"/>
            <w:noWrap/>
            <w:vAlign w:val="bottom"/>
            <w:hideMark/>
          </w:tcPr>
          <w:p w14:paraId="40519282"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1.01%</w:t>
            </w:r>
          </w:p>
        </w:tc>
        <w:tc>
          <w:tcPr>
            <w:tcW w:w="378" w:type="pct"/>
            <w:tcBorders>
              <w:top w:val="nil"/>
              <w:left w:val="nil"/>
              <w:bottom w:val="nil"/>
              <w:right w:val="nil"/>
            </w:tcBorders>
            <w:shd w:val="clear" w:color="auto" w:fill="auto"/>
            <w:noWrap/>
            <w:vAlign w:val="bottom"/>
            <w:hideMark/>
          </w:tcPr>
          <w:p w14:paraId="146E4A04"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2.99%</w:t>
            </w:r>
          </w:p>
        </w:tc>
        <w:tc>
          <w:tcPr>
            <w:tcW w:w="352" w:type="pct"/>
            <w:tcBorders>
              <w:top w:val="nil"/>
              <w:left w:val="nil"/>
              <w:bottom w:val="nil"/>
              <w:right w:val="nil"/>
            </w:tcBorders>
            <w:shd w:val="clear" w:color="auto" w:fill="auto"/>
            <w:noWrap/>
            <w:vAlign w:val="bottom"/>
            <w:hideMark/>
          </w:tcPr>
          <w:p w14:paraId="661A2530" w14:textId="77777777" w:rsidR="007F44A9" w:rsidRPr="00992EF8" w:rsidRDefault="007F44A9" w:rsidP="007F44A9">
            <w:pPr>
              <w:jc w:val="right"/>
              <w:rPr>
                <w:rFonts w:asciiTheme="majorHAnsi" w:eastAsia="Times New Roman" w:hAnsiTheme="majorHAnsi" w:cs="Times New Roman"/>
                <w:color w:val="000000"/>
                <w:sz w:val="19"/>
                <w:szCs w:val="19"/>
              </w:rPr>
            </w:pPr>
            <w:r w:rsidRPr="00992EF8">
              <w:rPr>
                <w:rFonts w:asciiTheme="majorHAnsi" w:eastAsia="Times New Roman" w:hAnsiTheme="majorHAnsi" w:cs="Times New Roman"/>
                <w:color w:val="000000"/>
                <w:sz w:val="19"/>
                <w:szCs w:val="19"/>
              </w:rPr>
              <w:t>2.56%</w:t>
            </w:r>
          </w:p>
        </w:tc>
      </w:tr>
      <w:tr w:rsidR="007F44A9" w:rsidRPr="00992EF8" w14:paraId="766F8452" w14:textId="77777777" w:rsidTr="007F44A9">
        <w:trPr>
          <w:trHeight w:val="260"/>
        </w:trPr>
        <w:tc>
          <w:tcPr>
            <w:tcW w:w="1248" w:type="pct"/>
            <w:tcBorders>
              <w:top w:val="nil"/>
              <w:left w:val="nil"/>
              <w:bottom w:val="nil"/>
              <w:right w:val="nil"/>
            </w:tcBorders>
            <w:shd w:val="clear" w:color="auto" w:fill="auto"/>
            <w:noWrap/>
            <w:vAlign w:val="bottom"/>
            <w:hideMark/>
          </w:tcPr>
          <w:p w14:paraId="7ED955F4"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72C35BE3"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BA9032F"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2DEBF552"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02F1D0F"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A7AB339"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103A6555"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2B4E1644"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DB904DE"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DFCB481"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12A59C72"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6D47C6D9" w14:textId="77777777" w:rsidTr="007F44A9">
        <w:trPr>
          <w:trHeight w:val="260"/>
        </w:trPr>
        <w:tc>
          <w:tcPr>
            <w:tcW w:w="4270" w:type="pct"/>
            <w:gridSpan w:val="9"/>
            <w:tcBorders>
              <w:top w:val="nil"/>
              <w:left w:val="nil"/>
              <w:bottom w:val="nil"/>
              <w:right w:val="nil"/>
            </w:tcBorders>
            <w:shd w:val="clear" w:color="auto" w:fill="auto"/>
            <w:noWrap/>
            <w:vAlign w:val="bottom"/>
            <w:hideMark/>
          </w:tcPr>
          <w:p w14:paraId="2F3445DC"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1. https://www.gov.uk/government/publications/rates-and-allowances-income-tax/income-tax-rates-and-allowances-current-and-past</w:t>
            </w:r>
          </w:p>
        </w:tc>
        <w:tc>
          <w:tcPr>
            <w:tcW w:w="378" w:type="pct"/>
            <w:tcBorders>
              <w:top w:val="nil"/>
              <w:left w:val="nil"/>
              <w:bottom w:val="nil"/>
              <w:right w:val="nil"/>
            </w:tcBorders>
            <w:shd w:val="clear" w:color="auto" w:fill="auto"/>
            <w:noWrap/>
            <w:vAlign w:val="bottom"/>
            <w:hideMark/>
          </w:tcPr>
          <w:p w14:paraId="0368DD5F"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69012DD2"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6DE2BBD4" w14:textId="77777777" w:rsidTr="007F44A9">
        <w:trPr>
          <w:trHeight w:val="260"/>
        </w:trPr>
        <w:tc>
          <w:tcPr>
            <w:tcW w:w="3892" w:type="pct"/>
            <w:gridSpan w:val="8"/>
            <w:tcBorders>
              <w:top w:val="nil"/>
              <w:left w:val="nil"/>
              <w:bottom w:val="nil"/>
              <w:right w:val="nil"/>
            </w:tcBorders>
            <w:shd w:val="clear" w:color="auto" w:fill="auto"/>
            <w:noWrap/>
            <w:vAlign w:val="bottom"/>
            <w:hideMark/>
          </w:tcPr>
          <w:p w14:paraId="75A472CE"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2. https://assets.publishing.service.gov.uk/government/uploads/system/uploads/attachment_data/file/709417/Table-a2.pdf</w:t>
            </w:r>
          </w:p>
        </w:tc>
        <w:tc>
          <w:tcPr>
            <w:tcW w:w="378" w:type="pct"/>
            <w:tcBorders>
              <w:top w:val="nil"/>
              <w:left w:val="nil"/>
              <w:bottom w:val="nil"/>
              <w:right w:val="nil"/>
            </w:tcBorders>
            <w:shd w:val="clear" w:color="auto" w:fill="auto"/>
            <w:noWrap/>
            <w:vAlign w:val="bottom"/>
            <w:hideMark/>
          </w:tcPr>
          <w:p w14:paraId="40D55254"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2C44658"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4ECB720A"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72A5C3D8" w14:textId="77777777" w:rsidTr="007F44A9">
        <w:trPr>
          <w:trHeight w:val="260"/>
        </w:trPr>
        <w:tc>
          <w:tcPr>
            <w:tcW w:w="4270" w:type="pct"/>
            <w:gridSpan w:val="9"/>
            <w:tcBorders>
              <w:top w:val="nil"/>
              <w:left w:val="nil"/>
              <w:bottom w:val="nil"/>
              <w:right w:val="nil"/>
            </w:tcBorders>
            <w:shd w:val="clear" w:color="auto" w:fill="auto"/>
            <w:noWrap/>
            <w:vAlign w:val="bottom"/>
            <w:hideMark/>
          </w:tcPr>
          <w:p w14:paraId="2E4C97D2"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3. https://www.gov.uk/government/publications/rates-and-allowances-income-tax/income-tax-rates-and-allowances-current-and-past</w:t>
            </w:r>
          </w:p>
        </w:tc>
        <w:tc>
          <w:tcPr>
            <w:tcW w:w="378" w:type="pct"/>
            <w:tcBorders>
              <w:top w:val="nil"/>
              <w:left w:val="nil"/>
              <w:bottom w:val="nil"/>
              <w:right w:val="nil"/>
            </w:tcBorders>
            <w:shd w:val="clear" w:color="auto" w:fill="auto"/>
            <w:noWrap/>
            <w:vAlign w:val="bottom"/>
            <w:hideMark/>
          </w:tcPr>
          <w:p w14:paraId="4B692B08"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1CA4A049"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45A33C25" w14:textId="77777777" w:rsidTr="007F44A9">
        <w:trPr>
          <w:trHeight w:val="260"/>
        </w:trPr>
        <w:tc>
          <w:tcPr>
            <w:tcW w:w="4270" w:type="pct"/>
            <w:gridSpan w:val="9"/>
            <w:tcBorders>
              <w:top w:val="nil"/>
              <w:left w:val="nil"/>
              <w:bottom w:val="nil"/>
              <w:right w:val="nil"/>
            </w:tcBorders>
            <w:shd w:val="clear" w:color="auto" w:fill="auto"/>
            <w:noWrap/>
            <w:vAlign w:val="bottom"/>
            <w:hideMark/>
          </w:tcPr>
          <w:p w14:paraId="5C571F91"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4. https://www.rossmartin.co.uk/private-client-a-estate-planning/capital-gains-tax/110-capital-gains-tax-rates-a-allowances</w:t>
            </w:r>
          </w:p>
        </w:tc>
        <w:tc>
          <w:tcPr>
            <w:tcW w:w="378" w:type="pct"/>
            <w:tcBorders>
              <w:top w:val="nil"/>
              <w:left w:val="nil"/>
              <w:bottom w:val="nil"/>
              <w:right w:val="nil"/>
            </w:tcBorders>
            <w:shd w:val="clear" w:color="auto" w:fill="auto"/>
            <w:noWrap/>
            <w:vAlign w:val="bottom"/>
            <w:hideMark/>
          </w:tcPr>
          <w:p w14:paraId="1562DF4F"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0D1DA72E"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7FEBD73C" w14:textId="77777777" w:rsidTr="007F44A9">
        <w:trPr>
          <w:trHeight w:val="260"/>
        </w:trPr>
        <w:tc>
          <w:tcPr>
            <w:tcW w:w="3892" w:type="pct"/>
            <w:gridSpan w:val="8"/>
            <w:tcBorders>
              <w:top w:val="nil"/>
              <w:left w:val="nil"/>
              <w:bottom w:val="nil"/>
              <w:right w:val="nil"/>
            </w:tcBorders>
            <w:shd w:val="clear" w:color="auto" w:fill="auto"/>
            <w:noWrap/>
            <w:vAlign w:val="bottom"/>
            <w:hideMark/>
          </w:tcPr>
          <w:p w14:paraId="22472645"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5. http://webarchive.nationalarchives.gov.uk/20100104174903/http://www.hmrc.gov.uk/consult_new/pensions_consult.pdf</w:t>
            </w:r>
          </w:p>
        </w:tc>
        <w:tc>
          <w:tcPr>
            <w:tcW w:w="378" w:type="pct"/>
            <w:tcBorders>
              <w:top w:val="nil"/>
              <w:left w:val="nil"/>
              <w:bottom w:val="nil"/>
              <w:right w:val="nil"/>
            </w:tcBorders>
            <w:shd w:val="clear" w:color="auto" w:fill="auto"/>
            <w:noWrap/>
            <w:vAlign w:val="bottom"/>
            <w:hideMark/>
          </w:tcPr>
          <w:p w14:paraId="1E93DBD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2965987B"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39976433"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38520B26" w14:textId="77777777" w:rsidTr="007F44A9">
        <w:trPr>
          <w:trHeight w:val="260"/>
        </w:trPr>
        <w:tc>
          <w:tcPr>
            <w:tcW w:w="3892" w:type="pct"/>
            <w:gridSpan w:val="8"/>
            <w:tcBorders>
              <w:top w:val="nil"/>
              <w:left w:val="nil"/>
              <w:bottom w:val="nil"/>
              <w:right w:val="nil"/>
            </w:tcBorders>
            <w:shd w:val="clear" w:color="auto" w:fill="auto"/>
            <w:noWrap/>
            <w:vAlign w:val="bottom"/>
            <w:hideMark/>
          </w:tcPr>
          <w:p w14:paraId="15AD096B"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6. http://webarchive.nationalarchives.gov.uk/20100104174903/http://www.hmrc.gov.uk/consult_new/pensions_consult.pdf</w:t>
            </w:r>
          </w:p>
        </w:tc>
        <w:tc>
          <w:tcPr>
            <w:tcW w:w="378" w:type="pct"/>
            <w:tcBorders>
              <w:top w:val="nil"/>
              <w:left w:val="nil"/>
              <w:bottom w:val="nil"/>
              <w:right w:val="nil"/>
            </w:tcBorders>
            <w:shd w:val="clear" w:color="auto" w:fill="auto"/>
            <w:noWrap/>
            <w:vAlign w:val="bottom"/>
            <w:hideMark/>
          </w:tcPr>
          <w:p w14:paraId="2A4F01A6"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3FF047D"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595BF850"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6342557B" w14:textId="77777777" w:rsidTr="007F44A9">
        <w:trPr>
          <w:trHeight w:val="260"/>
        </w:trPr>
        <w:tc>
          <w:tcPr>
            <w:tcW w:w="2759" w:type="pct"/>
            <w:gridSpan w:val="5"/>
            <w:tcBorders>
              <w:top w:val="nil"/>
              <w:left w:val="nil"/>
              <w:bottom w:val="nil"/>
              <w:right w:val="nil"/>
            </w:tcBorders>
            <w:shd w:val="clear" w:color="auto" w:fill="auto"/>
            <w:noWrap/>
            <w:vAlign w:val="bottom"/>
            <w:hideMark/>
          </w:tcPr>
          <w:p w14:paraId="3E8294D6"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7. https://www.gov.uk/government/uploads/system/uploads/attachment.../Table-a4.xls</w:t>
            </w:r>
          </w:p>
        </w:tc>
        <w:tc>
          <w:tcPr>
            <w:tcW w:w="378" w:type="pct"/>
            <w:tcBorders>
              <w:top w:val="nil"/>
              <w:left w:val="nil"/>
              <w:bottom w:val="nil"/>
              <w:right w:val="nil"/>
            </w:tcBorders>
            <w:shd w:val="clear" w:color="auto" w:fill="auto"/>
            <w:noWrap/>
            <w:vAlign w:val="bottom"/>
            <w:hideMark/>
          </w:tcPr>
          <w:p w14:paraId="32949C07"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A327A8F"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D947466"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3424C96"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1810709"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3DF7B75E"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0D6E4717" w14:textId="77777777" w:rsidTr="007F44A9">
        <w:trPr>
          <w:trHeight w:val="260"/>
        </w:trPr>
        <w:tc>
          <w:tcPr>
            <w:tcW w:w="2759" w:type="pct"/>
            <w:gridSpan w:val="5"/>
            <w:tcBorders>
              <w:top w:val="nil"/>
              <w:left w:val="nil"/>
              <w:bottom w:val="nil"/>
              <w:right w:val="nil"/>
            </w:tcBorders>
            <w:shd w:val="clear" w:color="auto" w:fill="auto"/>
            <w:noWrap/>
            <w:vAlign w:val="bottom"/>
            <w:hideMark/>
          </w:tcPr>
          <w:p w14:paraId="02D642B4" w14:textId="77777777" w:rsidR="007F44A9" w:rsidRPr="00992EF8" w:rsidRDefault="007F44A9" w:rsidP="007F44A9">
            <w:pPr>
              <w:rPr>
                <w:rFonts w:asciiTheme="majorHAnsi" w:eastAsia="Times New Roman" w:hAnsiTheme="majorHAnsi" w:cs="Times New Roman"/>
                <w:color w:val="000000"/>
                <w:sz w:val="20"/>
                <w:szCs w:val="20"/>
              </w:rPr>
            </w:pPr>
            <w:r w:rsidRPr="00992EF8">
              <w:rPr>
                <w:rFonts w:asciiTheme="majorHAnsi" w:eastAsia="Times New Roman" w:hAnsiTheme="majorHAnsi" w:cs="Times New Roman"/>
                <w:color w:val="000000"/>
                <w:sz w:val="20"/>
                <w:szCs w:val="20"/>
              </w:rPr>
              <w:t>8. https://www.gov.uk/government/uploads/system/uploads/attachment.../Table-a4.xls</w:t>
            </w:r>
          </w:p>
        </w:tc>
        <w:tc>
          <w:tcPr>
            <w:tcW w:w="378" w:type="pct"/>
            <w:tcBorders>
              <w:top w:val="nil"/>
              <w:left w:val="nil"/>
              <w:bottom w:val="nil"/>
              <w:right w:val="nil"/>
            </w:tcBorders>
            <w:shd w:val="clear" w:color="auto" w:fill="auto"/>
            <w:noWrap/>
            <w:vAlign w:val="bottom"/>
            <w:hideMark/>
          </w:tcPr>
          <w:p w14:paraId="70C99FE5"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208105B"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A68165A"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62E4361"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7DBB20D"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524A74C3" w14:textId="77777777" w:rsidR="007F44A9" w:rsidRPr="00992EF8" w:rsidRDefault="007F44A9" w:rsidP="007F44A9">
            <w:pPr>
              <w:rPr>
                <w:rFonts w:asciiTheme="majorHAnsi" w:eastAsia="Times New Roman" w:hAnsiTheme="majorHAnsi" w:cs="Times New Roman"/>
                <w:color w:val="000000"/>
                <w:sz w:val="20"/>
                <w:szCs w:val="20"/>
              </w:rPr>
            </w:pPr>
          </w:p>
        </w:tc>
      </w:tr>
      <w:tr w:rsidR="007F44A9" w:rsidRPr="00992EF8" w14:paraId="1CF5BF25" w14:textId="77777777" w:rsidTr="007F44A9">
        <w:trPr>
          <w:trHeight w:val="260"/>
        </w:trPr>
        <w:tc>
          <w:tcPr>
            <w:tcW w:w="1248" w:type="pct"/>
            <w:tcBorders>
              <w:top w:val="nil"/>
              <w:left w:val="nil"/>
              <w:bottom w:val="nil"/>
              <w:right w:val="nil"/>
            </w:tcBorders>
            <w:shd w:val="clear" w:color="auto" w:fill="auto"/>
            <w:noWrap/>
            <w:vAlign w:val="bottom"/>
            <w:hideMark/>
          </w:tcPr>
          <w:p w14:paraId="5AAA068F"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7CA878C"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3FBED968"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17A73291"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044B989B"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32A211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624349D6"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4A748D94"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746843C0" w14:textId="77777777" w:rsidR="007F44A9" w:rsidRPr="00992EF8" w:rsidRDefault="007F44A9" w:rsidP="007F44A9">
            <w:pPr>
              <w:rPr>
                <w:rFonts w:asciiTheme="majorHAnsi" w:eastAsia="Times New Roman" w:hAnsiTheme="majorHAnsi" w:cs="Times New Roman"/>
                <w:color w:val="000000"/>
                <w:sz w:val="20"/>
                <w:szCs w:val="20"/>
              </w:rPr>
            </w:pPr>
          </w:p>
        </w:tc>
        <w:tc>
          <w:tcPr>
            <w:tcW w:w="378" w:type="pct"/>
            <w:tcBorders>
              <w:top w:val="nil"/>
              <w:left w:val="nil"/>
              <w:bottom w:val="nil"/>
              <w:right w:val="nil"/>
            </w:tcBorders>
            <w:shd w:val="clear" w:color="auto" w:fill="auto"/>
            <w:noWrap/>
            <w:vAlign w:val="bottom"/>
            <w:hideMark/>
          </w:tcPr>
          <w:p w14:paraId="5EFC068C" w14:textId="77777777" w:rsidR="007F44A9" w:rsidRPr="00992EF8" w:rsidRDefault="007F44A9" w:rsidP="007F44A9">
            <w:pPr>
              <w:rPr>
                <w:rFonts w:asciiTheme="majorHAnsi" w:eastAsia="Times New Roman" w:hAnsiTheme="majorHAnsi" w:cs="Times New Roman"/>
                <w:color w:val="000000"/>
                <w:sz w:val="20"/>
                <w:szCs w:val="20"/>
              </w:rPr>
            </w:pPr>
          </w:p>
        </w:tc>
        <w:tc>
          <w:tcPr>
            <w:tcW w:w="352" w:type="pct"/>
            <w:tcBorders>
              <w:top w:val="nil"/>
              <w:left w:val="nil"/>
              <w:bottom w:val="nil"/>
              <w:right w:val="nil"/>
            </w:tcBorders>
            <w:shd w:val="clear" w:color="auto" w:fill="auto"/>
            <w:noWrap/>
            <w:vAlign w:val="bottom"/>
            <w:hideMark/>
          </w:tcPr>
          <w:p w14:paraId="059414FC" w14:textId="77777777" w:rsidR="007F44A9" w:rsidRPr="00992EF8" w:rsidRDefault="007F44A9" w:rsidP="007F44A9">
            <w:pPr>
              <w:rPr>
                <w:rFonts w:asciiTheme="majorHAnsi" w:eastAsia="Times New Roman" w:hAnsiTheme="majorHAnsi" w:cs="Times New Roman"/>
                <w:color w:val="000000"/>
                <w:sz w:val="20"/>
                <w:szCs w:val="20"/>
              </w:rPr>
            </w:pPr>
          </w:p>
        </w:tc>
      </w:tr>
    </w:tbl>
    <w:p w14:paraId="0D06B544" w14:textId="77777777" w:rsidR="00E06500" w:rsidRPr="00992EF8" w:rsidRDefault="00F63DD3" w:rsidP="00F63DD3">
      <w:pPr>
        <w:rPr>
          <w:rFonts w:asciiTheme="majorHAnsi" w:hAnsiTheme="majorHAnsi"/>
          <w:sz w:val="22"/>
          <w:szCs w:val="22"/>
        </w:rPr>
      </w:pPr>
      <w:r w:rsidRPr="00992EF8">
        <w:rPr>
          <w:rFonts w:asciiTheme="majorHAnsi" w:hAnsiTheme="majorHAnsi"/>
          <w:sz w:val="22"/>
          <w:szCs w:val="22"/>
        </w:rPr>
        <w:lastRenderedPageBreak/>
        <w:t xml:space="preserve">We view this as a limitation of the software. To overcome this limitation, we have assumed an average rate of 2.80% (RPI) to be applied across all tax bands / allowances. This is considered a reasonable assumption as this is broadly in line with the 2.90% ‘average of averages’ from the different tax allowance </w:t>
      </w:r>
    </w:p>
    <w:p w14:paraId="2C73963E" w14:textId="5564A926" w:rsidR="00F63DD3" w:rsidRPr="00992EF8" w:rsidRDefault="00163A0B" w:rsidP="00F63DD3">
      <w:pPr>
        <w:rPr>
          <w:rFonts w:asciiTheme="majorHAnsi" w:hAnsiTheme="majorHAnsi"/>
          <w:sz w:val="22"/>
          <w:szCs w:val="22"/>
        </w:rPr>
      </w:pPr>
      <w:r w:rsidRPr="00992EF8">
        <w:rPr>
          <w:rFonts w:asciiTheme="majorHAnsi" w:hAnsiTheme="majorHAnsi"/>
          <w:sz w:val="22"/>
          <w:szCs w:val="22"/>
        </w:rPr>
        <w:t>increase</w:t>
      </w:r>
      <w:r w:rsidR="00F63DD3" w:rsidRPr="00992EF8">
        <w:rPr>
          <w:rFonts w:asciiTheme="majorHAnsi" w:hAnsiTheme="majorHAnsi"/>
          <w:sz w:val="22"/>
          <w:szCs w:val="22"/>
        </w:rPr>
        <w:t xml:space="preserve"> in the past. </w:t>
      </w:r>
    </w:p>
    <w:p w14:paraId="610286B5" w14:textId="77777777" w:rsidR="00F63DD3" w:rsidRPr="00992EF8" w:rsidRDefault="00F63DD3" w:rsidP="00F63DD3">
      <w:pPr>
        <w:rPr>
          <w:rFonts w:asciiTheme="majorHAnsi" w:hAnsiTheme="majorHAnsi"/>
          <w:sz w:val="22"/>
          <w:szCs w:val="22"/>
        </w:rPr>
      </w:pPr>
    </w:p>
    <w:p w14:paraId="084F4C21" w14:textId="4490B4C3" w:rsidR="00F63DD3" w:rsidRPr="00992EF8" w:rsidRDefault="00F63DD3" w:rsidP="00F63DD3">
      <w:pPr>
        <w:rPr>
          <w:rFonts w:asciiTheme="majorHAnsi" w:hAnsiTheme="majorHAnsi"/>
          <w:sz w:val="22"/>
          <w:szCs w:val="22"/>
        </w:rPr>
      </w:pPr>
      <w:r w:rsidRPr="00992EF8">
        <w:rPr>
          <w:rFonts w:asciiTheme="majorHAnsi" w:hAnsiTheme="majorHAnsi"/>
          <w:sz w:val="22"/>
          <w:szCs w:val="22"/>
        </w:rPr>
        <w:t xml:space="preserve">A slight reduction to </w:t>
      </w:r>
      <w:r w:rsidR="00E06500" w:rsidRPr="00992EF8">
        <w:rPr>
          <w:rFonts w:asciiTheme="majorHAnsi" w:hAnsiTheme="majorHAnsi"/>
          <w:sz w:val="22"/>
          <w:szCs w:val="22"/>
        </w:rPr>
        <w:t xml:space="preserve">the </w:t>
      </w:r>
      <w:r w:rsidRPr="00992EF8">
        <w:rPr>
          <w:rFonts w:asciiTheme="majorHAnsi" w:hAnsiTheme="majorHAnsi"/>
          <w:sz w:val="22"/>
          <w:szCs w:val="22"/>
        </w:rPr>
        <w:t>2.90%</w:t>
      </w:r>
      <w:r w:rsidR="00E06500" w:rsidRPr="00992EF8">
        <w:rPr>
          <w:rFonts w:asciiTheme="majorHAnsi" w:hAnsiTheme="majorHAnsi"/>
          <w:sz w:val="22"/>
          <w:szCs w:val="22"/>
        </w:rPr>
        <w:t xml:space="preserve"> ‘average of averages’</w:t>
      </w:r>
      <w:r w:rsidRPr="00992EF8">
        <w:rPr>
          <w:rFonts w:asciiTheme="majorHAnsi" w:hAnsiTheme="majorHAnsi"/>
          <w:sz w:val="22"/>
          <w:szCs w:val="22"/>
        </w:rPr>
        <w:t xml:space="preserve"> has been applied as:</w:t>
      </w:r>
    </w:p>
    <w:p w14:paraId="5635EEF3" w14:textId="77777777" w:rsidR="00F63DD3" w:rsidRPr="00992EF8" w:rsidRDefault="00F63DD3" w:rsidP="007F44A9">
      <w:pPr>
        <w:rPr>
          <w:rFonts w:asciiTheme="majorHAnsi" w:hAnsiTheme="majorHAnsi"/>
          <w:sz w:val="22"/>
          <w:szCs w:val="22"/>
        </w:rPr>
      </w:pPr>
    </w:p>
    <w:p w14:paraId="627B3BC5" w14:textId="77777777" w:rsidR="00F63DD3" w:rsidRPr="00992EF8" w:rsidRDefault="00F63DD3" w:rsidP="00E06500">
      <w:pPr>
        <w:pStyle w:val="ListParagraph"/>
        <w:numPr>
          <w:ilvl w:val="0"/>
          <w:numId w:val="17"/>
        </w:numPr>
        <w:rPr>
          <w:rFonts w:asciiTheme="majorHAnsi" w:hAnsiTheme="majorHAnsi"/>
          <w:sz w:val="22"/>
          <w:szCs w:val="22"/>
        </w:rPr>
      </w:pPr>
      <w:r w:rsidRPr="00992EF8">
        <w:rPr>
          <w:rFonts w:asciiTheme="majorHAnsi" w:hAnsiTheme="majorHAnsi"/>
          <w:sz w:val="22"/>
          <w:szCs w:val="22"/>
        </w:rPr>
        <w:t>The majority of our target clients are unlikely to be affected by the non-earnings pension allowance as 80% of our clients will be in employment.</w:t>
      </w:r>
    </w:p>
    <w:p w14:paraId="1A520AC3" w14:textId="77777777" w:rsidR="00F63DD3" w:rsidRPr="00992EF8" w:rsidRDefault="00F63DD3" w:rsidP="00E06500">
      <w:pPr>
        <w:rPr>
          <w:rFonts w:asciiTheme="majorHAnsi" w:hAnsiTheme="majorHAnsi"/>
          <w:sz w:val="22"/>
          <w:szCs w:val="22"/>
        </w:rPr>
      </w:pPr>
    </w:p>
    <w:p w14:paraId="740CC3DB" w14:textId="5FCC3494" w:rsidR="007F44A9" w:rsidRPr="00992EF8" w:rsidRDefault="00F63DD3" w:rsidP="00E06500">
      <w:pPr>
        <w:pStyle w:val="ListParagraph"/>
        <w:numPr>
          <w:ilvl w:val="0"/>
          <w:numId w:val="17"/>
        </w:numPr>
        <w:rPr>
          <w:rFonts w:asciiTheme="majorHAnsi" w:hAnsiTheme="majorHAnsi"/>
          <w:sz w:val="22"/>
          <w:szCs w:val="22"/>
        </w:rPr>
      </w:pPr>
      <w:r w:rsidRPr="00992EF8">
        <w:rPr>
          <w:rFonts w:asciiTheme="majorHAnsi" w:hAnsiTheme="majorHAnsi"/>
          <w:sz w:val="22"/>
          <w:szCs w:val="22"/>
        </w:rPr>
        <w:t>The majority of our target clients are unlikely to be affected by the threshold income for loss of personal allowance which has not increased over the period as their income is expected to be between £50,000 - £100,000.</w:t>
      </w:r>
    </w:p>
    <w:p w14:paraId="28C2A3D1" w14:textId="77777777" w:rsidR="007F44A9" w:rsidRPr="00992EF8" w:rsidRDefault="007F44A9" w:rsidP="007F44A9">
      <w:pPr>
        <w:rPr>
          <w:rFonts w:asciiTheme="majorHAnsi" w:hAnsiTheme="majorHAnsi"/>
          <w:color w:val="000000" w:themeColor="text1"/>
          <w:sz w:val="22"/>
          <w:szCs w:val="22"/>
        </w:rPr>
      </w:pPr>
    </w:p>
    <w:p w14:paraId="4BF95BA5" w14:textId="77777777" w:rsidR="00992EF8" w:rsidRPr="00992EF8" w:rsidRDefault="00992EF8">
      <w:pPr>
        <w:rPr>
          <w:rFonts w:asciiTheme="majorHAnsi" w:hAnsiTheme="majorHAnsi"/>
          <w:b/>
          <w:color w:val="000000" w:themeColor="text1"/>
          <w:sz w:val="22"/>
          <w:szCs w:val="22"/>
        </w:rPr>
      </w:pPr>
      <w:r w:rsidRPr="00992EF8">
        <w:rPr>
          <w:rFonts w:asciiTheme="majorHAnsi" w:hAnsiTheme="majorHAnsi"/>
          <w:b/>
          <w:color w:val="000000" w:themeColor="text1"/>
          <w:sz w:val="22"/>
          <w:szCs w:val="22"/>
        </w:rPr>
        <w:br w:type="page"/>
      </w:r>
    </w:p>
    <w:p w14:paraId="27B32033" w14:textId="65821F58" w:rsidR="00E06500" w:rsidRPr="00992EF8" w:rsidRDefault="00992EF8" w:rsidP="002D7D81">
      <w:pPr>
        <w:pStyle w:val="Heading2"/>
        <w:numPr>
          <w:ilvl w:val="0"/>
          <w:numId w:val="18"/>
        </w:numPr>
      </w:pPr>
      <w:bookmarkStart w:id="13" w:name="_Toc394484447"/>
      <w:r w:rsidRPr="00992EF8">
        <w:lastRenderedPageBreak/>
        <w:t>Tax Allowances (Other)</w:t>
      </w:r>
      <w:bookmarkEnd w:id="13"/>
    </w:p>
    <w:p w14:paraId="383D9944" w14:textId="77777777" w:rsidR="00992EF8" w:rsidRDefault="00992EF8" w:rsidP="00992EF8">
      <w:pPr>
        <w:rPr>
          <w:rFonts w:asciiTheme="majorHAnsi" w:hAnsiTheme="majorHAnsi"/>
        </w:rPr>
      </w:pPr>
    </w:p>
    <w:p w14:paraId="1B439FAC" w14:textId="0C515C22" w:rsidR="002D7D81" w:rsidRPr="002D7D81" w:rsidRDefault="002D7D81" w:rsidP="00992EF8">
      <w:pPr>
        <w:rPr>
          <w:rFonts w:asciiTheme="majorHAnsi" w:hAnsiTheme="majorHAnsi"/>
          <w:sz w:val="22"/>
          <w:szCs w:val="22"/>
        </w:rPr>
      </w:pPr>
      <w:r w:rsidRPr="002D7D81">
        <w:rPr>
          <w:rFonts w:asciiTheme="majorHAnsi" w:hAnsiTheme="majorHAnsi"/>
          <w:sz w:val="22"/>
          <w:szCs w:val="22"/>
        </w:rPr>
        <w:t xml:space="preserve">Shown below are the tax allowance assumptions used in </w:t>
      </w:r>
      <w:proofErr w:type="spellStart"/>
      <w:r w:rsidRPr="002D7D81">
        <w:rPr>
          <w:rFonts w:asciiTheme="majorHAnsi" w:hAnsiTheme="majorHAnsi"/>
          <w:sz w:val="22"/>
          <w:szCs w:val="22"/>
        </w:rPr>
        <w:t>Voyant</w:t>
      </w:r>
      <w:proofErr w:type="spellEnd"/>
      <w:r w:rsidRPr="002D7D81">
        <w:rPr>
          <w:rFonts w:asciiTheme="majorHAnsi" w:hAnsiTheme="majorHAnsi"/>
          <w:sz w:val="22"/>
          <w:szCs w:val="22"/>
        </w:rPr>
        <w:t>:</w:t>
      </w:r>
    </w:p>
    <w:p w14:paraId="214EFD14" w14:textId="77777777" w:rsidR="007F44A9" w:rsidRPr="00992EF8" w:rsidRDefault="007F44A9" w:rsidP="00E06500">
      <w:pPr>
        <w:pStyle w:val="NoSpacing"/>
        <w:rPr>
          <w:rFonts w:asciiTheme="majorHAnsi" w:hAnsiTheme="majorHAnsi"/>
          <w:color w:val="000000" w:themeColor="text1"/>
          <w:sz w:val="22"/>
          <w:szCs w:val="22"/>
        </w:rPr>
      </w:pPr>
    </w:p>
    <w:p w14:paraId="01865DA3" w14:textId="6CB5BB60" w:rsidR="007F44A9" w:rsidRPr="00992EF8" w:rsidRDefault="007F44A9" w:rsidP="00E06500">
      <w:pPr>
        <w:pStyle w:val="ListParagraph"/>
        <w:numPr>
          <w:ilvl w:val="0"/>
          <w:numId w:val="15"/>
        </w:numPr>
        <w:rPr>
          <w:rFonts w:asciiTheme="majorHAnsi" w:hAnsiTheme="majorHAnsi"/>
          <w:color w:val="000000" w:themeColor="text1"/>
          <w:sz w:val="22"/>
          <w:szCs w:val="22"/>
        </w:rPr>
      </w:pPr>
      <w:r w:rsidRPr="00992EF8">
        <w:rPr>
          <w:rStyle w:val="Strong"/>
          <w:rFonts w:asciiTheme="majorHAnsi" w:hAnsiTheme="majorHAnsi"/>
          <w:color w:val="000000" w:themeColor="text1"/>
          <w:sz w:val="22"/>
          <w:szCs w:val="22"/>
        </w:rPr>
        <w:t>Nil Rate Band Escalation %</w:t>
      </w:r>
      <w:r w:rsidRPr="00992EF8">
        <w:rPr>
          <w:rFonts w:asciiTheme="majorHAnsi" w:hAnsiTheme="majorHAnsi"/>
          <w:color w:val="000000" w:themeColor="text1"/>
          <w:sz w:val="22"/>
          <w:szCs w:val="22"/>
        </w:rPr>
        <w:t xml:space="preserve"> - This is set at </w:t>
      </w:r>
      <w:r w:rsidR="00F63DD3" w:rsidRPr="00992EF8">
        <w:rPr>
          <w:rFonts w:asciiTheme="majorHAnsi" w:hAnsiTheme="majorHAnsi"/>
          <w:color w:val="000000" w:themeColor="text1"/>
          <w:sz w:val="22"/>
          <w:szCs w:val="22"/>
        </w:rPr>
        <w:t>£325,000</w:t>
      </w:r>
      <w:r w:rsidRPr="00992EF8">
        <w:rPr>
          <w:rFonts w:asciiTheme="majorHAnsi" w:hAnsiTheme="majorHAnsi"/>
          <w:color w:val="000000" w:themeColor="text1"/>
          <w:sz w:val="22"/>
          <w:szCs w:val="22"/>
        </w:rPr>
        <w:t xml:space="preserve"> through 2020</w:t>
      </w:r>
      <w:r w:rsidR="00312A25" w:rsidRPr="00992EF8">
        <w:rPr>
          <w:rFonts w:asciiTheme="majorHAnsi" w:hAnsiTheme="majorHAnsi"/>
          <w:color w:val="000000" w:themeColor="text1"/>
          <w:sz w:val="22"/>
          <w:szCs w:val="22"/>
        </w:rPr>
        <w:t>/21</w:t>
      </w:r>
      <w:r w:rsidRPr="00992EF8">
        <w:rPr>
          <w:rFonts w:asciiTheme="majorHAnsi" w:hAnsiTheme="majorHAnsi"/>
          <w:color w:val="000000" w:themeColor="text1"/>
          <w:sz w:val="22"/>
          <w:szCs w:val="22"/>
        </w:rPr>
        <w:t xml:space="preserve"> (as per current legislation), and begins to escalate thereafter, as set usin</w:t>
      </w:r>
      <w:r w:rsidR="00F63DD3" w:rsidRPr="00992EF8">
        <w:rPr>
          <w:rFonts w:asciiTheme="majorHAnsi" w:hAnsiTheme="majorHAnsi"/>
          <w:color w:val="000000" w:themeColor="text1"/>
          <w:sz w:val="22"/>
          <w:szCs w:val="22"/>
        </w:rPr>
        <w:t>g the Nil Rate Band Escalation of CPI (2.00%)</w:t>
      </w:r>
    </w:p>
    <w:p w14:paraId="618A6A61" w14:textId="60E1CF31" w:rsidR="00E06500" w:rsidRPr="00992EF8" w:rsidRDefault="00E06500" w:rsidP="00E06500">
      <w:pPr>
        <w:pStyle w:val="ListParagraph"/>
        <w:rPr>
          <w:rStyle w:val="Strong"/>
          <w:rFonts w:asciiTheme="majorHAnsi" w:hAnsiTheme="majorHAnsi"/>
          <w:b w:val="0"/>
          <w:bCs w:val="0"/>
          <w:color w:val="000000" w:themeColor="text1"/>
          <w:sz w:val="22"/>
          <w:szCs w:val="22"/>
        </w:rPr>
      </w:pPr>
      <w:r w:rsidRPr="00992EF8">
        <w:rPr>
          <w:rStyle w:val="Strong"/>
          <w:rFonts w:asciiTheme="majorHAnsi" w:hAnsiTheme="majorHAnsi"/>
          <w:color w:val="000000" w:themeColor="text1"/>
          <w:sz w:val="22"/>
          <w:szCs w:val="22"/>
        </w:rPr>
        <w:t xml:space="preserve"> </w:t>
      </w:r>
    </w:p>
    <w:p w14:paraId="5709BB4B" w14:textId="4EBB4524" w:rsidR="00E06500" w:rsidRPr="00992EF8" w:rsidRDefault="00E06500" w:rsidP="00E06500">
      <w:pPr>
        <w:pStyle w:val="ListParagraph"/>
        <w:numPr>
          <w:ilvl w:val="0"/>
          <w:numId w:val="15"/>
        </w:numPr>
        <w:rPr>
          <w:rFonts w:asciiTheme="majorHAnsi" w:hAnsiTheme="majorHAnsi"/>
          <w:color w:val="000000" w:themeColor="text1"/>
          <w:sz w:val="22"/>
          <w:szCs w:val="22"/>
        </w:rPr>
      </w:pPr>
      <w:r w:rsidRPr="00992EF8">
        <w:rPr>
          <w:rStyle w:val="Strong"/>
          <w:rFonts w:asciiTheme="majorHAnsi" w:hAnsiTheme="majorHAnsi"/>
          <w:color w:val="000000" w:themeColor="text1"/>
          <w:sz w:val="22"/>
          <w:szCs w:val="22"/>
        </w:rPr>
        <w:t>Residence Nil Rate Band Escalation %</w:t>
      </w:r>
      <w:r w:rsidRPr="00992EF8">
        <w:rPr>
          <w:rFonts w:asciiTheme="majorHAnsi" w:hAnsiTheme="majorHAnsi"/>
          <w:color w:val="000000" w:themeColor="text1"/>
          <w:sz w:val="22"/>
          <w:szCs w:val="22"/>
        </w:rPr>
        <w:t xml:space="preserve"> - The Residence Nil Rate Band is being phased in between 2017/18 and 2020/21. The software includes the phasing in of the RNRB. The software setting </w:t>
      </w:r>
      <w:r w:rsidR="00B66D03" w:rsidRPr="00992EF8">
        <w:rPr>
          <w:rFonts w:asciiTheme="majorHAnsi" w:hAnsiTheme="majorHAnsi"/>
          <w:color w:val="000000" w:themeColor="text1"/>
          <w:sz w:val="22"/>
          <w:szCs w:val="22"/>
        </w:rPr>
        <w:t>is to</w:t>
      </w:r>
      <w:r w:rsidRPr="00992EF8">
        <w:rPr>
          <w:rFonts w:asciiTheme="majorHAnsi" w:hAnsiTheme="majorHAnsi"/>
          <w:color w:val="000000" w:themeColor="text1"/>
          <w:sz w:val="22"/>
          <w:szCs w:val="22"/>
        </w:rPr>
        <w:t xml:space="preserve"> escalate the RNRB from 2021/22 in line with CPI, as per current legislation.</w:t>
      </w:r>
    </w:p>
    <w:p w14:paraId="0FEA974E" w14:textId="77777777" w:rsidR="00E06500" w:rsidRPr="00992EF8" w:rsidRDefault="00E06500" w:rsidP="00E06500">
      <w:pPr>
        <w:rPr>
          <w:rFonts w:asciiTheme="majorHAnsi" w:hAnsiTheme="majorHAnsi"/>
          <w:color w:val="000000" w:themeColor="text1"/>
          <w:sz w:val="22"/>
          <w:szCs w:val="22"/>
        </w:rPr>
      </w:pPr>
    </w:p>
    <w:p w14:paraId="1AC2DD68" w14:textId="1E0F2343" w:rsidR="007F44A9" w:rsidRPr="00992EF8" w:rsidRDefault="007F44A9" w:rsidP="00E06500">
      <w:pPr>
        <w:pStyle w:val="NoSpacing"/>
        <w:numPr>
          <w:ilvl w:val="0"/>
          <w:numId w:val="15"/>
        </w:numPr>
        <w:rPr>
          <w:rStyle w:val="Strong"/>
          <w:rFonts w:asciiTheme="majorHAnsi" w:hAnsiTheme="majorHAnsi"/>
          <w:b w:val="0"/>
          <w:color w:val="000000" w:themeColor="text1"/>
          <w:sz w:val="22"/>
          <w:szCs w:val="22"/>
        </w:rPr>
      </w:pPr>
      <w:r w:rsidRPr="00992EF8">
        <w:rPr>
          <w:rStyle w:val="Strong"/>
          <w:rFonts w:asciiTheme="majorHAnsi" w:hAnsiTheme="majorHAnsi"/>
          <w:color w:val="000000" w:themeColor="text1"/>
          <w:sz w:val="22"/>
          <w:szCs w:val="22"/>
        </w:rPr>
        <w:t>Lifetime Allowance (LTA) Escalation </w:t>
      </w:r>
      <w:r w:rsidR="00B66D03" w:rsidRPr="00992EF8">
        <w:rPr>
          <w:rStyle w:val="Strong"/>
          <w:rFonts w:asciiTheme="majorHAnsi" w:hAnsiTheme="majorHAnsi"/>
          <w:color w:val="000000" w:themeColor="text1"/>
          <w:sz w:val="22"/>
          <w:szCs w:val="22"/>
        </w:rPr>
        <w:t xml:space="preserve">% </w:t>
      </w:r>
      <w:r w:rsidR="00F63DD3" w:rsidRPr="00992EF8">
        <w:rPr>
          <w:rFonts w:asciiTheme="majorHAnsi" w:hAnsiTheme="majorHAnsi"/>
          <w:color w:val="000000" w:themeColor="text1"/>
          <w:sz w:val="22"/>
          <w:szCs w:val="22"/>
        </w:rPr>
        <w:t xml:space="preserve">- </w:t>
      </w:r>
      <w:r w:rsidR="00B66D03" w:rsidRPr="00992EF8">
        <w:rPr>
          <w:rFonts w:asciiTheme="majorHAnsi" w:hAnsiTheme="majorHAnsi"/>
          <w:color w:val="000000" w:themeColor="text1"/>
          <w:sz w:val="22"/>
          <w:szCs w:val="22"/>
        </w:rPr>
        <w:t>The software setting is to escalate the Lifetime Allowance from 2018/19 in line with CPI, as per current legislation.</w:t>
      </w:r>
    </w:p>
    <w:p w14:paraId="7D0CE2CA" w14:textId="77777777" w:rsidR="00163A0B" w:rsidRPr="00992EF8" w:rsidRDefault="00163A0B" w:rsidP="00E06500">
      <w:pPr>
        <w:pStyle w:val="NoSpacing"/>
        <w:rPr>
          <w:rStyle w:val="Strong"/>
          <w:rFonts w:asciiTheme="majorHAnsi" w:hAnsiTheme="majorHAnsi"/>
          <w:b w:val="0"/>
          <w:color w:val="000000" w:themeColor="text1"/>
          <w:sz w:val="22"/>
          <w:szCs w:val="22"/>
        </w:rPr>
      </w:pPr>
    </w:p>
    <w:p w14:paraId="2183E197" w14:textId="494C63AB" w:rsidR="00E06500" w:rsidRPr="00992EF8" w:rsidRDefault="00E06500" w:rsidP="00E06500">
      <w:pPr>
        <w:pStyle w:val="NoSpacing"/>
        <w:numPr>
          <w:ilvl w:val="0"/>
          <w:numId w:val="15"/>
        </w:numPr>
        <w:rPr>
          <w:rStyle w:val="Strong"/>
          <w:rFonts w:asciiTheme="majorHAnsi" w:hAnsiTheme="majorHAnsi"/>
          <w:b w:val="0"/>
          <w:color w:val="000000" w:themeColor="text1"/>
          <w:sz w:val="22"/>
          <w:szCs w:val="22"/>
        </w:rPr>
      </w:pPr>
      <w:r w:rsidRPr="00992EF8">
        <w:rPr>
          <w:rStyle w:val="Strong"/>
          <w:rFonts w:asciiTheme="majorHAnsi" w:hAnsiTheme="majorHAnsi"/>
          <w:color w:val="000000" w:themeColor="text1"/>
          <w:sz w:val="22"/>
          <w:szCs w:val="22"/>
        </w:rPr>
        <w:t xml:space="preserve">Pension </w:t>
      </w:r>
      <w:r w:rsidR="00163A0B" w:rsidRPr="00992EF8">
        <w:rPr>
          <w:rStyle w:val="Strong"/>
          <w:rFonts w:asciiTheme="majorHAnsi" w:hAnsiTheme="majorHAnsi"/>
          <w:color w:val="000000" w:themeColor="text1"/>
          <w:sz w:val="22"/>
          <w:szCs w:val="22"/>
        </w:rPr>
        <w:t>Annual Allowance Escalatio</w:t>
      </w:r>
      <w:r w:rsidRPr="00992EF8">
        <w:rPr>
          <w:rStyle w:val="Strong"/>
          <w:rFonts w:asciiTheme="majorHAnsi" w:hAnsiTheme="majorHAnsi"/>
          <w:color w:val="000000" w:themeColor="text1"/>
          <w:sz w:val="22"/>
          <w:szCs w:val="22"/>
        </w:rPr>
        <w:t xml:space="preserve">n / MPAA </w:t>
      </w:r>
      <w:r w:rsidRPr="00992EF8">
        <w:rPr>
          <w:rStyle w:val="Strong"/>
          <w:rFonts w:asciiTheme="majorHAnsi" w:hAnsiTheme="majorHAnsi"/>
          <w:b w:val="0"/>
          <w:color w:val="000000" w:themeColor="text1"/>
          <w:sz w:val="22"/>
          <w:szCs w:val="22"/>
        </w:rPr>
        <w:t>– pensions annual allowance and the money purchase annual allowance has reduced considerably in recent years. The software has been programme not to escalate the pension annual allowance or MPAA. The software setting is to update the pension annual allowance / MPAA only when legislation is announced that makes changes to the annual allowance.</w:t>
      </w:r>
    </w:p>
    <w:p w14:paraId="0EAFC357" w14:textId="77777777" w:rsidR="00E06500" w:rsidRPr="00992EF8" w:rsidRDefault="00E06500" w:rsidP="00E06500">
      <w:pPr>
        <w:pStyle w:val="NoSpacing"/>
        <w:rPr>
          <w:rStyle w:val="Strong"/>
          <w:rFonts w:asciiTheme="majorHAnsi" w:hAnsiTheme="majorHAnsi"/>
          <w:b w:val="0"/>
          <w:color w:val="000000" w:themeColor="text1"/>
          <w:sz w:val="22"/>
          <w:szCs w:val="22"/>
        </w:rPr>
      </w:pPr>
    </w:p>
    <w:p w14:paraId="07E5A5FE" w14:textId="77777777" w:rsidR="00E06500" w:rsidRPr="00992EF8" w:rsidRDefault="00E06500" w:rsidP="00E06500">
      <w:pPr>
        <w:pStyle w:val="NoSpacing"/>
        <w:numPr>
          <w:ilvl w:val="0"/>
          <w:numId w:val="15"/>
        </w:numPr>
        <w:rPr>
          <w:rFonts w:asciiTheme="majorHAnsi" w:hAnsiTheme="majorHAnsi"/>
          <w:color w:val="000000" w:themeColor="text1"/>
          <w:sz w:val="22"/>
          <w:szCs w:val="22"/>
        </w:rPr>
      </w:pPr>
      <w:r w:rsidRPr="00992EF8">
        <w:rPr>
          <w:rFonts w:asciiTheme="majorHAnsi" w:hAnsiTheme="majorHAnsi"/>
          <w:b/>
          <w:color w:val="000000" w:themeColor="text1"/>
          <w:sz w:val="22"/>
          <w:szCs w:val="22"/>
        </w:rPr>
        <w:t xml:space="preserve">EIS/VCT - </w:t>
      </w:r>
      <w:r w:rsidRPr="00992EF8">
        <w:rPr>
          <w:rFonts w:asciiTheme="majorHAnsi" w:hAnsiTheme="majorHAnsi"/>
          <w:color w:val="000000" w:themeColor="text1"/>
          <w:sz w:val="22"/>
          <w:szCs w:val="22"/>
        </w:rPr>
        <w:t>the software does not escalate EIS and VCT contribution limits. We feel that this is appropriate, as contribution limits for these products have not historically increased.</w:t>
      </w:r>
    </w:p>
    <w:p w14:paraId="011E9E69" w14:textId="77777777" w:rsidR="00E06500" w:rsidRPr="00992EF8" w:rsidRDefault="00E06500" w:rsidP="00E06500">
      <w:pPr>
        <w:pStyle w:val="NoSpacing"/>
        <w:rPr>
          <w:rStyle w:val="Strong"/>
          <w:rFonts w:asciiTheme="majorHAnsi" w:hAnsiTheme="majorHAnsi"/>
          <w:b w:val="0"/>
          <w:color w:val="000000" w:themeColor="text1"/>
          <w:sz w:val="22"/>
          <w:szCs w:val="22"/>
        </w:rPr>
      </w:pPr>
    </w:p>
    <w:p w14:paraId="735381B0" w14:textId="77777777" w:rsidR="00E06500" w:rsidRPr="00992EF8" w:rsidRDefault="00E06500" w:rsidP="00E06500">
      <w:pPr>
        <w:pStyle w:val="NoSpacing"/>
        <w:rPr>
          <w:rStyle w:val="Strong"/>
          <w:rFonts w:asciiTheme="majorHAnsi" w:hAnsiTheme="majorHAnsi"/>
          <w:b w:val="0"/>
          <w:color w:val="000000" w:themeColor="text1"/>
          <w:sz w:val="22"/>
          <w:szCs w:val="22"/>
        </w:rPr>
      </w:pPr>
    </w:p>
    <w:p w14:paraId="65A33831" w14:textId="77777777" w:rsidR="00E06500" w:rsidRPr="00992EF8" w:rsidRDefault="00E06500" w:rsidP="00E06500">
      <w:pPr>
        <w:pStyle w:val="NoSpacing"/>
        <w:rPr>
          <w:rStyle w:val="Strong"/>
          <w:rFonts w:asciiTheme="majorHAnsi" w:hAnsiTheme="majorHAnsi"/>
          <w:b w:val="0"/>
          <w:color w:val="000000" w:themeColor="text1"/>
          <w:sz w:val="22"/>
          <w:szCs w:val="22"/>
        </w:rPr>
      </w:pPr>
    </w:p>
    <w:p w14:paraId="46DE0433" w14:textId="77777777" w:rsidR="00E06500" w:rsidRPr="00992EF8" w:rsidRDefault="00E06500" w:rsidP="00E06500">
      <w:pPr>
        <w:pStyle w:val="NoSpacing"/>
        <w:rPr>
          <w:rStyle w:val="Strong"/>
          <w:rFonts w:asciiTheme="majorHAnsi" w:hAnsiTheme="majorHAnsi"/>
          <w:b w:val="0"/>
          <w:color w:val="000000" w:themeColor="text1"/>
          <w:sz w:val="22"/>
          <w:szCs w:val="22"/>
        </w:rPr>
      </w:pPr>
    </w:p>
    <w:p w14:paraId="39F6362A" w14:textId="77777777" w:rsidR="008A4C8D" w:rsidRPr="00992EF8" w:rsidRDefault="008A4C8D">
      <w:pPr>
        <w:rPr>
          <w:rFonts w:asciiTheme="majorHAnsi" w:hAnsiTheme="majorHAnsi"/>
          <w:sz w:val="22"/>
          <w:szCs w:val="22"/>
        </w:rPr>
      </w:pPr>
    </w:p>
    <w:p w14:paraId="42B76768" w14:textId="36CA120F" w:rsidR="007F44A9" w:rsidRPr="00992EF8" w:rsidRDefault="007F44A9" w:rsidP="007F44A9">
      <w:pPr>
        <w:rPr>
          <w:rFonts w:asciiTheme="majorHAnsi" w:hAnsiTheme="majorHAnsi"/>
          <w:sz w:val="22"/>
          <w:szCs w:val="22"/>
        </w:rPr>
      </w:pPr>
    </w:p>
    <w:sectPr w:rsidR="007F44A9" w:rsidRPr="00992EF8" w:rsidSect="007F44A9">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07850" w14:textId="77777777" w:rsidR="0005559C" w:rsidRDefault="0005559C" w:rsidP="00A37AE9">
      <w:r>
        <w:separator/>
      </w:r>
    </w:p>
  </w:endnote>
  <w:endnote w:type="continuationSeparator" w:id="0">
    <w:p w14:paraId="457D18CE" w14:textId="77777777" w:rsidR="0005559C" w:rsidRDefault="0005559C" w:rsidP="00A3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992E" w14:textId="7DBD2F47" w:rsidR="007008A8" w:rsidRPr="00A37AE9" w:rsidRDefault="007008A8" w:rsidP="00A37AE9">
    <w:pPr>
      <w:pStyle w:val="Footer"/>
      <w:jc w:val="right"/>
      <w:rPr>
        <w:rFonts w:asciiTheme="majorHAnsi" w:hAnsiTheme="majorHAnsi"/>
      </w:rPr>
    </w:pPr>
    <w:r w:rsidRPr="00A37AE9">
      <w:rPr>
        <w:rStyle w:val="PageNumber"/>
        <w:rFonts w:asciiTheme="majorHAnsi" w:hAnsiTheme="majorHAnsi"/>
      </w:rPr>
      <w:fldChar w:fldCharType="begin"/>
    </w:r>
    <w:r w:rsidRPr="00A37AE9">
      <w:rPr>
        <w:rStyle w:val="PageNumber"/>
        <w:rFonts w:asciiTheme="majorHAnsi" w:hAnsiTheme="majorHAnsi"/>
      </w:rPr>
      <w:instrText xml:space="preserve"> PAGE </w:instrText>
    </w:r>
    <w:r w:rsidRPr="00A37AE9">
      <w:rPr>
        <w:rStyle w:val="PageNumber"/>
        <w:rFonts w:asciiTheme="majorHAnsi" w:hAnsiTheme="majorHAnsi"/>
      </w:rPr>
      <w:fldChar w:fldCharType="separate"/>
    </w:r>
    <w:r>
      <w:rPr>
        <w:rStyle w:val="PageNumber"/>
        <w:rFonts w:asciiTheme="majorHAnsi" w:hAnsiTheme="majorHAnsi"/>
        <w:noProof/>
      </w:rPr>
      <w:t>2</w:t>
    </w:r>
    <w:r w:rsidRPr="00A37AE9">
      <w:rPr>
        <w:rStyle w:val="PageNumbe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A20CB" w14:textId="77777777" w:rsidR="0005559C" w:rsidRDefault="0005559C" w:rsidP="00A37AE9">
      <w:r>
        <w:separator/>
      </w:r>
    </w:p>
  </w:footnote>
  <w:footnote w:type="continuationSeparator" w:id="0">
    <w:p w14:paraId="76BDEC4C" w14:textId="77777777" w:rsidR="0005559C" w:rsidRDefault="0005559C" w:rsidP="00A37AE9">
      <w:r>
        <w:continuationSeparator/>
      </w:r>
    </w:p>
  </w:footnote>
  <w:footnote w:id="1">
    <w:p w14:paraId="7E9A5FAB" w14:textId="77777777" w:rsidR="00AB2569" w:rsidRPr="00AB2569" w:rsidRDefault="00AB2569" w:rsidP="00AB2569">
      <w:pPr>
        <w:rPr>
          <w:sz w:val="20"/>
          <w:szCs w:val="20"/>
        </w:rPr>
      </w:pPr>
      <w:r>
        <w:rPr>
          <w:rStyle w:val="FootnoteReference"/>
        </w:rPr>
        <w:footnoteRef/>
      </w:r>
      <w:r>
        <w:t xml:space="preserve"> </w:t>
      </w:r>
      <w:r w:rsidRPr="00AB2569">
        <w:rPr>
          <w:sz w:val="20"/>
          <w:szCs w:val="20"/>
        </w:rPr>
        <w:t xml:space="preserve">A limitation of </w:t>
      </w:r>
      <w:proofErr w:type="spellStart"/>
      <w:r w:rsidRPr="00AB2569">
        <w:rPr>
          <w:sz w:val="20"/>
          <w:szCs w:val="20"/>
        </w:rPr>
        <w:t>Voyant</w:t>
      </w:r>
      <w:proofErr w:type="spellEnd"/>
      <w:r w:rsidRPr="00AB2569">
        <w:rPr>
          <w:sz w:val="20"/>
          <w:szCs w:val="20"/>
        </w:rPr>
        <w:t xml:space="preserve"> is that the State Pension escalation rate is set to escalate automatically by the triple lock: </w:t>
      </w:r>
      <w:hyperlink r:id="rId1" w:history="1">
        <w:r w:rsidRPr="00AB2569">
          <w:rPr>
            <w:rStyle w:val="Hyperlink"/>
            <w:sz w:val="20"/>
            <w:szCs w:val="20"/>
          </w:rPr>
          <w:t>https://support.planwithvoyant.com/hc/en-us/articles/211660743-State-Pension-in-future-value</w:t>
        </w:r>
      </w:hyperlink>
    </w:p>
    <w:p w14:paraId="45C712D0" w14:textId="2ECE7ACD" w:rsidR="00AB2569" w:rsidRDefault="00AB2569">
      <w:pPr>
        <w:pStyle w:val="FootnoteText"/>
      </w:pPr>
    </w:p>
    <w:p w14:paraId="4F52085F" w14:textId="77777777" w:rsidR="00AB2569" w:rsidRDefault="00AB2569">
      <w:pPr>
        <w:pStyle w:val="FootnoteText"/>
      </w:pPr>
      <w:r>
        <w:t>There is no option to remove this triple lock, meaning that the State Pension will grow by 3.75% (the assumed national average earnings), whereas expenses grow by</w:t>
      </w:r>
      <w:r w:rsidRPr="00AB2569">
        <w:t xml:space="preserve"> 2.80%. </w:t>
      </w:r>
    </w:p>
    <w:p w14:paraId="4AECB8B1" w14:textId="77777777" w:rsidR="00AB2569" w:rsidRDefault="00AB2569">
      <w:pPr>
        <w:pStyle w:val="FootnoteText"/>
      </w:pPr>
    </w:p>
    <w:p w14:paraId="2AA2F56A" w14:textId="516EBDC6" w:rsidR="00AB2569" w:rsidRDefault="00AB2569">
      <w:pPr>
        <w:pStyle w:val="FootnoteText"/>
      </w:pPr>
      <w:r w:rsidRPr="00AB2569">
        <w:t>We do not believe that the triple lock is likely to remain indefinitely due to it being unaffordable</w:t>
      </w:r>
      <w:r>
        <w:t xml:space="preserve">. We believe that in the future, the State Pension will increase by a less generous rate, likely to be in line with RPI. By using NAE of 3.75%, there is therefore a risk that the State Pension appears to be more generous that it actually is. </w:t>
      </w:r>
    </w:p>
    <w:p w14:paraId="4C00D41B" w14:textId="77777777" w:rsidR="00AB2569" w:rsidRDefault="00AB2569">
      <w:pPr>
        <w:pStyle w:val="FootnoteText"/>
      </w:pPr>
    </w:p>
    <w:p w14:paraId="4249D853" w14:textId="48ADBB8C" w:rsidR="00AB2569" w:rsidRPr="00AB2569" w:rsidRDefault="00AB2569">
      <w:pPr>
        <w:pStyle w:val="FootnoteText"/>
      </w:pPr>
      <w:r w:rsidRPr="00AB2569">
        <w:t>For this reason, we have assumed national average earnings of 2.80%</w:t>
      </w:r>
      <w:r>
        <w:t xml:space="preserve"> in line with RPI</w:t>
      </w:r>
      <w:r w:rsidRPr="00AB2569">
        <w:t>, so that the State Pension only grows in line with earnings.</w:t>
      </w:r>
    </w:p>
    <w:p w14:paraId="4D135E77" w14:textId="3F782118" w:rsidR="00AB2569" w:rsidRDefault="00AB256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5692"/>
    <w:multiLevelType w:val="hybridMultilevel"/>
    <w:tmpl w:val="E9A8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0249D"/>
    <w:multiLevelType w:val="hybridMultilevel"/>
    <w:tmpl w:val="9564C06E"/>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F2AE5"/>
    <w:multiLevelType w:val="hybridMultilevel"/>
    <w:tmpl w:val="A6B0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440CA"/>
    <w:multiLevelType w:val="hybridMultilevel"/>
    <w:tmpl w:val="6DEA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C3FF0"/>
    <w:multiLevelType w:val="hybridMultilevel"/>
    <w:tmpl w:val="49C8140A"/>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CC0606"/>
    <w:multiLevelType w:val="hybridMultilevel"/>
    <w:tmpl w:val="9F7CDCBC"/>
    <w:lvl w:ilvl="0" w:tplc="08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D815D0"/>
    <w:multiLevelType w:val="hybridMultilevel"/>
    <w:tmpl w:val="BB449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97174"/>
    <w:multiLevelType w:val="hybridMultilevel"/>
    <w:tmpl w:val="5E14798E"/>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879F0"/>
    <w:multiLevelType w:val="hybridMultilevel"/>
    <w:tmpl w:val="7034EA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AF0ADA"/>
    <w:multiLevelType w:val="hybridMultilevel"/>
    <w:tmpl w:val="06CE59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320716"/>
    <w:multiLevelType w:val="hybridMultilevel"/>
    <w:tmpl w:val="F87A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9D7105"/>
    <w:multiLevelType w:val="hybridMultilevel"/>
    <w:tmpl w:val="5C2C9180"/>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17686"/>
    <w:multiLevelType w:val="hybridMultilevel"/>
    <w:tmpl w:val="A4F86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DB2797A"/>
    <w:multiLevelType w:val="hybridMultilevel"/>
    <w:tmpl w:val="49C8140A"/>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B1CD0"/>
    <w:multiLevelType w:val="hybridMultilevel"/>
    <w:tmpl w:val="1B20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B0E4D"/>
    <w:multiLevelType w:val="hybridMultilevel"/>
    <w:tmpl w:val="CA6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F72066"/>
    <w:multiLevelType w:val="hybridMultilevel"/>
    <w:tmpl w:val="842860DE"/>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3E2AE9"/>
    <w:multiLevelType w:val="hybridMultilevel"/>
    <w:tmpl w:val="B69E64C2"/>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A5247B"/>
    <w:multiLevelType w:val="hybridMultilevel"/>
    <w:tmpl w:val="6418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E35D65"/>
    <w:multiLevelType w:val="hybridMultilevel"/>
    <w:tmpl w:val="842860DE"/>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18"/>
  </w:num>
  <w:num w:numId="4">
    <w:abstractNumId w:val="5"/>
  </w:num>
  <w:num w:numId="5">
    <w:abstractNumId w:val="17"/>
  </w:num>
  <w:num w:numId="6">
    <w:abstractNumId w:val="16"/>
  </w:num>
  <w:num w:numId="7">
    <w:abstractNumId w:val="1"/>
  </w:num>
  <w:num w:numId="8">
    <w:abstractNumId w:val="3"/>
  </w:num>
  <w:num w:numId="9">
    <w:abstractNumId w:val="4"/>
  </w:num>
  <w:num w:numId="10">
    <w:abstractNumId w:val="19"/>
  </w:num>
  <w:num w:numId="11">
    <w:abstractNumId w:val="13"/>
  </w:num>
  <w:num w:numId="12">
    <w:abstractNumId w:val="7"/>
  </w:num>
  <w:num w:numId="13">
    <w:abstractNumId w:val="11"/>
  </w:num>
  <w:num w:numId="14">
    <w:abstractNumId w:val="9"/>
  </w:num>
  <w:num w:numId="15">
    <w:abstractNumId w:val="2"/>
  </w:num>
  <w:num w:numId="16">
    <w:abstractNumId w:val="8"/>
  </w:num>
  <w:num w:numId="17">
    <w:abstractNumId w:val="0"/>
  </w:num>
  <w:num w:numId="18">
    <w:abstractNumId w:val="12"/>
  </w:num>
  <w:num w:numId="19">
    <w:abstractNumId w:val="1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035"/>
    <w:rsid w:val="00024AA7"/>
    <w:rsid w:val="0005559C"/>
    <w:rsid w:val="000717F8"/>
    <w:rsid w:val="0008616F"/>
    <w:rsid w:val="00163A0B"/>
    <w:rsid w:val="001737C0"/>
    <w:rsid w:val="00184480"/>
    <w:rsid w:val="00186721"/>
    <w:rsid w:val="001E4042"/>
    <w:rsid w:val="00261337"/>
    <w:rsid w:val="002D350D"/>
    <w:rsid w:val="002D7D81"/>
    <w:rsid w:val="002E47E6"/>
    <w:rsid w:val="00312A25"/>
    <w:rsid w:val="0035310E"/>
    <w:rsid w:val="003705F6"/>
    <w:rsid w:val="0038118C"/>
    <w:rsid w:val="003A4A1A"/>
    <w:rsid w:val="003C5CA0"/>
    <w:rsid w:val="00421BD1"/>
    <w:rsid w:val="0047409F"/>
    <w:rsid w:val="004B29AB"/>
    <w:rsid w:val="004F1D3E"/>
    <w:rsid w:val="00520E9F"/>
    <w:rsid w:val="00524162"/>
    <w:rsid w:val="00527C07"/>
    <w:rsid w:val="005A5D22"/>
    <w:rsid w:val="00610444"/>
    <w:rsid w:val="006A74D9"/>
    <w:rsid w:val="006A7758"/>
    <w:rsid w:val="006D08A7"/>
    <w:rsid w:val="007008A8"/>
    <w:rsid w:val="0071028F"/>
    <w:rsid w:val="00780A45"/>
    <w:rsid w:val="007C2366"/>
    <w:rsid w:val="007C66D5"/>
    <w:rsid w:val="007F44A9"/>
    <w:rsid w:val="00851793"/>
    <w:rsid w:val="008A4C8D"/>
    <w:rsid w:val="008F7674"/>
    <w:rsid w:val="00976E7C"/>
    <w:rsid w:val="009802D4"/>
    <w:rsid w:val="00992EF8"/>
    <w:rsid w:val="009B3983"/>
    <w:rsid w:val="00A37AE9"/>
    <w:rsid w:val="00A44C68"/>
    <w:rsid w:val="00A649DD"/>
    <w:rsid w:val="00AB1671"/>
    <w:rsid w:val="00AB2569"/>
    <w:rsid w:val="00B01D35"/>
    <w:rsid w:val="00B022E5"/>
    <w:rsid w:val="00B35758"/>
    <w:rsid w:val="00B66D03"/>
    <w:rsid w:val="00BC2DD9"/>
    <w:rsid w:val="00BD4035"/>
    <w:rsid w:val="00BE112B"/>
    <w:rsid w:val="00BF431C"/>
    <w:rsid w:val="00C12B56"/>
    <w:rsid w:val="00C61D22"/>
    <w:rsid w:val="00C72A9E"/>
    <w:rsid w:val="00D53E0C"/>
    <w:rsid w:val="00D62098"/>
    <w:rsid w:val="00D8798B"/>
    <w:rsid w:val="00DD50C0"/>
    <w:rsid w:val="00E06500"/>
    <w:rsid w:val="00E26467"/>
    <w:rsid w:val="00E90FBB"/>
    <w:rsid w:val="00EA6B06"/>
    <w:rsid w:val="00EA6D9E"/>
    <w:rsid w:val="00EB56E9"/>
    <w:rsid w:val="00ED12E4"/>
    <w:rsid w:val="00F63DD3"/>
    <w:rsid w:val="00FC6E1B"/>
    <w:rsid w:val="00FD1639"/>
    <w:rsid w:val="00FE7E80"/>
    <w:rsid w:val="00FF13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2485C"/>
  <w14:defaultImageDpi w14:val="300"/>
  <w15:docId w15:val="{A17D5902-728E-4540-8DCC-F1EE7A5D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D81"/>
    <w:pPr>
      <w:keepNext/>
      <w:keepLines/>
      <w:spacing w:before="480" w:line="36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3C5CA0"/>
    <w:pPr>
      <w:keepNext/>
      <w:keepLines/>
      <w:spacing w:before="20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A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AA7"/>
    <w:rPr>
      <w:rFonts w:ascii="Lucida Grande" w:hAnsi="Lucida Grande" w:cs="Lucida Grande"/>
      <w:sz w:val="18"/>
      <w:szCs w:val="18"/>
    </w:rPr>
  </w:style>
  <w:style w:type="character" w:styleId="Hyperlink">
    <w:name w:val="Hyperlink"/>
    <w:basedOn w:val="DefaultParagraphFont"/>
    <w:uiPriority w:val="99"/>
    <w:unhideWhenUsed/>
    <w:rsid w:val="00B35758"/>
    <w:rPr>
      <w:color w:val="0000FF" w:themeColor="hyperlink"/>
      <w:u w:val="single"/>
    </w:rPr>
  </w:style>
  <w:style w:type="paragraph" w:styleId="ListParagraph">
    <w:name w:val="List Paragraph"/>
    <w:basedOn w:val="Normal"/>
    <w:uiPriority w:val="34"/>
    <w:qFormat/>
    <w:rsid w:val="00B35758"/>
    <w:pPr>
      <w:ind w:left="720"/>
      <w:contextualSpacing/>
    </w:pPr>
  </w:style>
  <w:style w:type="table" w:styleId="TableGrid">
    <w:name w:val="Table Grid"/>
    <w:basedOn w:val="TableNormal"/>
    <w:uiPriority w:val="59"/>
    <w:rsid w:val="007C2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5CA0"/>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2D7D81"/>
    <w:rPr>
      <w:rFonts w:asciiTheme="majorHAnsi" w:eastAsiaTheme="majorEastAsia" w:hAnsiTheme="majorHAnsi" w:cstheme="majorBidi"/>
      <w:b/>
      <w:bCs/>
      <w:sz w:val="32"/>
      <w:szCs w:val="32"/>
    </w:rPr>
  </w:style>
  <w:style w:type="paragraph" w:customStyle="1" w:styleId="TableParagraph">
    <w:name w:val="Table Paragraph"/>
    <w:basedOn w:val="Normal"/>
    <w:uiPriority w:val="1"/>
    <w:qFormat/>
    <w:rsid w:val="00ED12E4"/>
    <w:pPr>
      <w:widowControl w:val="0"/>
      <w:autoSpaceDE w:val="0"/>
      <w:autoSpaceDN w:val="0"/>
    </w:pPr>
    <w:rPr>
      <w:rFonts w:ascii="Calibri" w:eastAsia="Calibri" w:hAnsi="Calibri" w:cs="Calibri"/>
      <w:sz w:val="22"/>
      <w:szCs w:val="22"/>
      <w:lang w:eastAsia="en-GB" w:bidi="en-GB"/>
    </w:rPr>
  </w:style>
  <w:style w:type="paragraph" w:styleId="NormalWeb">
    <w:name w:val="Normal (Web)"/>
    <w:basedOn w:val="Normal"/>
    <w:uiPriority w:val="99"/>
    <w:semiHidden/>
    <w:unhideWhenUsed/>
    <w:rsid w:val="007F44A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7F44A9"/>
    <w:rPr>
      <w:b/>
      <w:bCs/>
    </w:rPr>
  </w:style>
  <w:style w:type="paragraph" w:styleId="NoSpacing">
    <w:name w:val="No Spacing"/>
    <w:uiPriority w:val="1"/>
    <w:qFormat/>
    <w:rsid w:val="00E06500"/>
  </w:style>
  <w:style w:type="paragraph" w:styleId="TOCHeading">
    <w:name w:val="TOC Heading"/>
    <w:basedOn w:val="Heading1"/>
    <w:next w:val="Normal"/>
    <w:uiPriority w:val="39"/>
    <w:unhideWhenUsed/>
    <w:qFormat/>
    <w:rsid w:val="002D7D81"/>
    <w:pPr>
      <w:spacing w:line="276" w:lineRule="auto"/>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2D7D81"/>
    <w:pPr>
      <w:ind w:left="240"/>
    </w:pPr>
    <w:rPr>
      <w:b/>
      <w:sz w:val="22"/>
      <w:szCs w:val="22"/>
    </w:rPr>
  </w:style>
  <w:style w:type="paragraph" w:styleId="TOC1">
    <w:name w:val="toc 1"/>
    <w:basedOn w:val="Normal"/>
    <w:next w:val="Normal"/>
    <w:autoRedefine/>
    <w:uiPriority w:val="39"/>
    <w:unhideWhenUsed/>
    <w:rsid w:val="002D7D81"/>
    <w:pPr>
      <w:spacing w:before="120"/>
    </w:pPr>
    <w:rPr>
      <w:b/>
    </w:rPr>
  </w:style>
  <w:style w:type="paragraph" w:styleId="TOC3">
    <w:name w:val="toc 3"/>
    <w:basedOn w:val="Normal"/>
    <w:next w:val="Normal"/>
    <w:autoRedefine/>
    <w:uiPriority w:val="39"/>
    <w:semiHidden/>
    <w:unhideWhenUsed/>
    <w:rsid w:val="002D7D81"/>
    <w:pPr>
      <w:ind w:left="480"/>
    </w:pPr>
    <w:rPr>
      <w:sz w:val="22"/>
      <w:szCs w:val="22"/>
    </w:rPr>
  </w:style>
  <w:style w:type="paragraph" w:styleId="TOC4">
    <w:name w:val="toc 4"/>
    <w:basedOn w:val="Normal"/>
    <w:next w:val="Normal"/>
    <w:autoRedefine/>
    <w:uiPriority w:val="39"/>
    <w:semiHidden/>
    <w:unhideWhenUsed/>
    <w:rsid w:val="002D7D81"/>
    <w:pPr>
      <w:ind w:left="720"/>
    </w:pPr>
    <w:rPr>
      <w:sz w:val="20"/>
      <w:szCs w:val="20"/>
    </w:rPr>
  </w:style>
  <w:style w:type="paragraph" w:styleId="TOC5">
    <w:name w:val="toc 5"/>
    <w:basedOn w:val="Normal"/>
    <w:next w:val="Normal"/>
    <w:autoRedefine/>
    <w:uiPriority w:val="39"/>
    <w:semiHidden/>
    <w:unhideWhenUsed/>
    <w:rsid w:val="002D7D81"/>
    <w:pPr>
      <w:ind w:left="960"/>
    </w:pPr>
    <w:rPr>
      <w:sz w:val="20"/>
      <w:szCs w:val="20"/>
    </w:rPr>
  </w:style>
  <w:style w:type="paragraph" w:styleId="TOC6">
    <w:name w:val="toc 6"/>
    <w:basedOn w:val="Normal"/>
    <w:next w:val="Normal"/>
    <w:autoRedefine/>
    <w:uiPriority w:val="39"/>
    <w:semiHidden/>
    <w:unhideWhenUsed/>
    <w:rsid w:val="002D7D81"/>
    <w:pPr>
      <w:ind w:left="1200"/>
    </w:pPr>
    <w:rPr>
      <w:sz w:val="20"/>
      <w:szCs w:val="20"/>
    </w:rPr>
  </w:style>
  <w:style w:type="paragraph" w:styleId="TOC7">
    <w:name w:val="toc 7"/>
    <w:basedOn w:val="Normal"/>
    <w:next w:val="Normal"/>
    <w:autoRedefine/>
    <w:uiPriority w:val="39"/>
    <w:semiHidden/>
    <w:unhideWhenUsed/>
    <w:rsid w:val="002D7D81"/>
    <w:pPr>
      <w:ind w:left="1440"/>
    </w:pPr>
    <w:rPr>
      <w:sz w:val="20"/>
      <w:szCs w:val="20"/>
    </w:rPr>
  </w:style>
  <w:style w:type="paragraph" w:styleId="TOC8">
    <w:name w:val="toc 8"/>
    <w:basedOn w:val="Normal"/>
    <w:next w:val="Normal"/>
    <w:autoRedefine/>
    <w:uiPriority w:val="39"/>
    <w:semiHidden/>
    <w:unhideWhenUsed/>
    <w:rsid w:val="002D7D81"/>
    <w:pPr>
      <w:ind w:left="1680"/>
    </w:pPr>
    <w:rPr>
      <w:sz w:val="20"/>
      <w:szCs w:val="20"/>
    </w:rPr>
  </w:style>
  <w:style w:type="paragraph" w:styleId="TOC9">
    <w:name w:val="toc 9"/>
    <w:basedOn w:val="Normal"/>
    <w:next w:val="Normal"/>
    <w:autoRedefine/>
    <w:uiPriority w:val="39"/>
    <w:semiHidden/>
    <w:unhideWhenUsed/>
    <w:rsid w:val="002D7D81"/>
    <w:pPr>
      <w:ind w:left="1920"/>
    </w:pPr>
    <w:rPr>
      <w:sz w:val="20"/>
      <w:szCs w:val="20"/>
    </w:rPr>
  </w:style>
  <w:style w:type="paragraph" w:styleId="Header">
    <w:name w:val="header"/>
    <w:basedOn w:val="Normal"/>
    <w:link w:val="HeaderChar"/>
    <w:uiPriority w:val="99"/>
    <w:unhideWhenUsed/>
    <w:rsid w:val="00A37AE9"/>
    <w:pPr>
      <w:tabs>
        <w:tab w:val="center" w:pos="4320"/>
        <w:tab w:val="right" w:pos="8640"/>
      </w:tabs>
    </w:pPr>
  </w:style>
  <w:style w:type="character" w:customStyle="1" w:styleId="HeaderChar">
    <w:name w:val="Header Char"/>
    <w:basedOn w:val="DefaultParagraphFont"/>
    <w:link w:val="Header"/>
    <w:uiPriority w:val="99"/>
    <w:rsid w:val="00A37AE9"/>
  </w:style>
  <w:style w:type="paragraph" w:styleId="Footer">
    <w:name w:val="footer"/>
    <w:basedOn w:val="Normal"/>
    <w:link w:val="FooterChar"/>
    <w:uiPriority w:val="99"/>
    <w:unhideWhenUsed/>
    <w:rsid w:val="00A37AE9"/>
    <w:pPr>
      <w:tabs>
        <w:tab w:val="center" w:pos="4320"/>
        <w:tab w:val="right" w:pos="8640"/>
      </w:tabs>
    </w:pPr>
  </w:style>
  <w:style w:type="character" w:customStyle="1" w:styleId="FooterChar">
    <w:name w:val="Footer Char"/>
    <w:basedOn w:val="DefaultParagraphFont"/>
    <w:link w:val="Footer"/>
    <w:uiPriority w:val="99"/>
    <w:rsid w:val="00A37AE9"/>
  </w:style>
  <w:style w:type="character" w:styleId="PageNumber">
    <w:name w:val="page number"/>
    <w:basedOn w:val="DefaultParagraphFont"/>
    <w:uiPriority w:val="99"/>
    <w:semiHidden/>
    <w:unhideWhenUsed/>
    <w:rsid w:val="00A37AE9"/>
  </w:style>
  <w:style w:type="character" w:styleId="CommentReference">
    <w:name w:val="annotation reference"/>
    <w:basedOn w:val="DefaultParagraphFont"/>
    <w:uiPriority w:val="99"/>
    <w:semiHidden/>
    <w:unhideWhenUsed/>
    <w:rsid w:val="00AB1671"/>
    <w:rPr>
      <w:sz w:val="18"/>
      <w:szCs w:val="18"/>
    </w:rPr>
  </w:style>
  <w:style w:type="paragraph" w:styleId="CommentText">
    <w:name w:val="annotation text"/>
    <w:basedOn w:val="Normal"/>
    <w:link w:val="CommentTextChar"/>
    <w:uiPriority w:val="99"/>
    <w:semiHidden/>
    <w:unhideWhenUsed/>
    <w:rsid w:val="00AB1671"/>
  </w:style>
  <w:style w:type="character" w:customStyle="1" w:styleId="CommentTextChar">
    <w:name w:val="Comment Text Char"/>
    <w:basedOn w:val="DefaultParagraphFont"/>
    <w:link w:val="CommentText"/>
    <w:uiPriority w:val="99"/>
    <w:semiHidden/>
    <w:rsid w:val="00AB1671"/>
  </w:style>
  <w:style w:type="paragraph" w:styleId="CommentSubject">
    <w:name w:val="annotation subject"/>
    <w:basedOn w:val="CommentText"/>
    <w:next w:val="CommentText"/>
    <w:link w:val="CommentSubjectChar"/>
    <w:uiPriority w:val="99"/>
    <w:semiHidden/>
    <w:unhideWhenUsed/>
    <w:rsid w:val="00AB1671"/>
    <w:rPr>
      <w:b/>
      <w:bCs/>
      <w:sz w:val="20"/>
      <w:szCs w:val="20"/>
    </w:rPr>
  </w:style>
  <w:style w:type="character" w:customStyle="1" w:styleId="CommentSubjectChar">
    <w:name w:val="Comment Subject Char"/>
    <w:basedOn w:val="CommentTextChar"/>
    <w:link w:val="CommentSubject"/>
    <w:uiPriority w:val="99"/>
    <w:semiHidden/>
    <w:rsid w:val="00AB1671"/>
    <w:rPr>
      <w:b/>
      <w:bCs/>
      <w:sz w:val="20"/>
      <w:szCs w:val="20"/>
    </w:rPr>
  </w:style>
  <w:style w:type="paragraph" w:styleId="FootnoteText">
    <w:name w:val="footnote text"/>
    <w:basedOn w:val="Normal"/>
    <w:link w:val="FootnoteTextChar"/>
    <w:uiPriority w:val="99"/>
    <w:semiHidden/>
    <w:unhideWhenUsed/>
    <w:rsid w:val="00AB2569"/>
    <w:rPr>
      <w:sz w:val="20"/>
      <w:szCs w:val="20"/>
    </w:rPr>
  </w:style>
  <w:style w:type="character" w:customStyle="1" w:styleId="FootnoteTextChar">
    <w:name w:val="Footnote Text Char"/>
    <w:basedOn w:val="DefaultParagraphFont"/>
    <w:link w:val="FootnoteText"/>
    <w:uiPriority w:val="99"/>
    <w:semiHidden/>
    <w:rsid w:val="00AB2569"/>
    <w:rPr>
      <w:sz w:val="20"/>
      <w:szCs w:val="20"/>
    </w:rPr>
  </w:style>
  <w:style w:type="character" w:styleId="FootnoteReference">
    <w:name w:val="footnote reference"/>
    <w:basedOn w:val="DefaultParagraphFont"/>
    <w:uiPriority w:val="99"/>
    <w:semiHidden/>
    <w:unhideWhenUsed/>
    <w:rsid w:val="00AB25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380640">
      <w:bodyDiv w:val="1"/>
      <w:marLeft w:val="0"/>
      <w:marRight w:val="0"/>
      <w:marTop w:val="0"/>
      <w:marBottom w:val="0"/>
      <w:divBdr>
        <w:top w:val="none" w:sz="0" w:space="0" w:color="auto"/>
        <w:left w:val="none" w:sz="0" w:space="0" w:color="auto"/>
        <w:bottom w:val="none" w:sz="0" w:space="0" w:color="auto"/>
        <w:right w:val="none" w:sz="0" w:space="0" w:color="auto"/>
      </w:divBdr>
    </w:div>
    <w:div w:id="296223013">
      <w:bodyDiv w:val="1"/>
      <w:marLeft w:val="0"/>
      <w:marRight w:val="0"/>
      <w:marTop w:val="0"/>
      <w:marBottom w:val="0"/>
      <w:divBdr>
        <w:top w:val="none" w:sz="0" w:space="0" w:color="auto"/>
        <w:left w:val="none" w:sz="0" w:space="0" w:color="auto"/>
        <w:bottom w:val="none" w:sz="0" w:space="0" w:color="auto"/>
        <w:right w:val="none" w:sz="0" w:space="0" w:color="auto"/>
      </w:divBdr>
    </w:div>
    <w:div w:id="364793551">
      <w:bodyDiv w:val="1"/>
      <w:marLeft w:val="0"/>
      <w:marRight w:val="0"/>
      <w:marTop w:val="0"/>
      <w:marBottom w:val="0"/>
      <w:divBdr>
        <w:top w:val="none" w:sz="0" w:space="0" w:color="auto"/>
        <w:left w:val="none" w:sz="0" w:space="0" w:color="auto"/>
        <w:bottom w:val="none" w:sz="0" w:space="0" w:color="auto"/>
        <w:right w:val="none" w:sz="0" w:space="0" w:color="auto"/>
      </w:divBdr>
    </w:div>
    <w:div w:id="368845683">
      <w:bodyDiv w:val="1"/>
      <w:marLeft w:val="0"/>
      <w:marRight w:val="0"/>
      <w:marTop w:val="0"/>
      <w:marBottom w:val="0"/>
      <w:divBdr>
        <w:top w:val="none" w:sz="0" w:space="0" w:color="auto"/>
        <w:left w:val="none" w:sz="0" w:space="0" w:color="auto"/>
        <w:bottom w:val="none" w:sz="0" w:space="0" w:color="auto"/>
        <w:right w:val="none" w:sz="0" w:space="0" w:color="auto"/>
      </w:divBdr>
      <w:divsChild>
        <w:div w:id="218828765">
          <w:marLeft w:val="45"/>
          <w:marRight w:val="45"/>
          <w:marTop w:val="15"/>
          <w:marBottom w:val="0"/>
          <w:divBdr>
            <w:top w:val="none" w:sz="0" w:space="0" w:color="auto"/>
            <w:left w:val="none" w:sz="0" w:space="0" w:color="auto"/>
            <w:bottom w:val="none" w:sz="0" w:space="0" w:color="auto"/>
            <w:right w:val="none" w:sz="0" w:space="0" w:color="auto"/>
          </w:divBdr>
          <w:divsChild>
            <w:div w:id="10274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8153">
      <w:bodyDiv w:val="1"/>
      <w:marLeft w:val="0"/>
      <w:marRight w:val="0"/>
      <w:marTop w:val="0"/>
      <w:marBottom w:val="0"/>
      <w:divBdr>
        <w:top w:val="none" w:sz="0" w:space="0" w:color="auto"/>
        <w:left w:val="none" w:sz="0" w:space="0" w:color="auto"/>
        <w:bottom w:val="none" w:sz="0" w:space="0" w:color="auto"/>
        <w:right w:val="none" w:sz="0" w:space="0" w:color="auto"/>
      </w:divBdr>
    </w:div>
    <w:div w:id="498009479">
      <w:bodyDiv w:val="1"/>
      <w:marLeft w:val="0"/>
      <w:marRight w:val="0"/>
      <w:marTop w:val="0"/>
      <w:marBottom w:val="0"/>
      <w:divBdr>
        <w:top w:val="none" w:sz="0" w:space="0" w:color="auto"/>
        <w:left w:val="none" w:sz="0" w:space="0" w:color="auto"/>
        <w:bottom w:val="none" w:sz="0" w:space="0" w:color="auto"/>
        <w:right w:val="none" w:sz="0" w:space="0" w:color="auto"/>
      </w:divBdr>
    </w:div>
    <w:div w:id="546257876">
      <w:bodyDiv w:val="1"/>
      <w:marLeft w:val="0"/>
      <w:marRight w:val="0"/>
      <w:marTop w:val="0"/>
      <w:marBottom w:val="0"/>
      <w:divBdr>
        <w:top w:val="none" w:sz="0" w:space="0" w:color="auto"/>
        <w:left w:val="none" w:sz="0" w:space="0" w:color="auto"/>
        <w:bottom w:val="none" w:sz="0" w:space="0" w:color="auto"/>
        <w:right w:val="none" w:sz="0" w:space="0" w:color="auto"/>
      </w:divBdr>
    </w:div>
    <w:div w:id="583076232">
      <w:bodyDiv w:val="1"/>
      <w:marLeft w:val="0"/>
      <w:marRight w:val="0"/>
      <w:marTop w:val="0"/>
      <w:marBottom w:val="0"/>
      <w:divBdr>
        <w:top w:val="none" w:sz="0" w:space="0" w:color="auto"/>
        <w:left w:val="none" w:sz="0" w:space="0" w:color="auto"/>
        <w:bottom w:val="none" w:sz="0" w:space="0" w:color="auto"/>
        <w:right w:val="none" w:sz="0" w:space="0" w:color="auto"/>
      </w:divBdr>
    </w:div>
    <w:div w:id="826244007">
      <w:bodyDiv w:val="1"/>
      <w:marLeft w:val="0"/>
      <w:marRight w:val="0"/>
      <w:marTop w:val="0"/>
      <w:marBottom w:val="0"/>
      <w:divBdr>
        <w:top w:val="none" w:sz="0" w:space="0" w:color="auto"/>
        <w:left w:val="none" w:sz="0" w:space="0" w:color="auto"/>
        <w:bottom w:val="none" w:sz="0" w:space="0" w:color="auto"/>
        <w:right w:val="none" w:sz="0" w:space="0" w:color="auto"/>
      </w:divBdr>
    </w:div>
    <w:div w:id="920409856">
      <w:bodyDiv w:val="1"/>
      <w:marLeft w:val="0"/>
      <w:marRight w:val="0"/>
      <w:marTop w:val="0"/>
      <w:marBottom w:val="0"/>
      <w:divBdr>
        <w:top w:val="none" w:sz="0" w:space="0" w:color="auto"/>
        <w:left w:val="none" w:sz="0" w:space="0" w:color="auto"/>
        <w:bottom w:val="none" w:sz="0" w:space="0" w:color="auto"/>
        <w:right w:val="none" w:sz="0" w:space="0" w:color="auto"/>
      </w:divBdr>
    </w:div>
    <w:div w:id="1027948218">
      <w:bodyDiv w:val="1"/>
      <w:marLeft w:val="0"/>
      <w:marRight w:val="0"/>
      <w:marTop w:val="0"/>
      <w:marBottom w:val="0"/>
      <w:divBdr>
        <w:top w:val="none" w:sz="0" w:space="0" w:color="auto"/>
        <w:left w:val="none" w:sz="0" w:space="0" w:color="auto"/>
        <w:bottom w:val="none" w:sz="0" w:space="0" w:color="auto"/>
        <w:right w:val="none" w:sz="0" w:space="0" w:color="auto"/>
      </w:divBdr>
    </w:div>
    <w:div w:id="1134714647">
      <w:bodyDiv w:val="1"/>
      <w:marLeft w:val="0"/>
      <w:marRight w:val="0"/>
      <w:marTop w:val="0"/>
      <w:marBottom w:val="0"/>
      <w:divBdr>
        <w:top w:val="none" w:sz="0" w:space="0" w:color="auto"/>
        <w:left w:val="none" w:sz="0" w:space="0" w:color="auto"/>
        <w:bottom w:val="none" w:sz="0" w:space="0" w:color="auto"/>
        <w:right w:val="none" w:sz="0" w:space="0" w:color="auto"/>
      </w:divBdr>
    </w:div>
    <w:div w:id="1276788620">
      <w:bodyDiv w:val="1"/>
      <w:marLeft w:val="0"/>
      <w:marRight w:val="0"/>
      <w:marTop w:val="0"/>
      <w:marBottom w:val="0"/>
      <w:divBdr>
        <w:top w:val="none" w:sz="0" w:space="0" w:color="auto"/>
        <w:left w:val="none" w:sz="0" w:space="0" w:color="auto"/>
        <w:bottom w:val="none" w:sz="0" w:space="0" w:color="auto"/>
        <w:right w:val="none" w:sz="0" w:space="0" w:color="auto"/>
      </w:divBdr>
    </w:div>
    <w:div w:id="1302226558">
      <w:bodyDiv w:val="1"/>
      <w:marLeft w:val="0"/>
      <w:marRight w:val="0"/>
      <w:marTop w:val="0"/>
      <w:marBottom w:val="0"/>
      <w:divBdr>
        <w:top w:val="none" w:sz="0" w:space="0" w:color="auto"/>
        <w:left w:val="none" w:sz="0" w:space="0" w:color="auto"/>
        <w:bottom w:val="none" w:sz="0" w:space="0" w:color="auto"/>
        <w:right w:val="none" w:sz="0" w:space="0" w:color="auto"/>
      </w:divBdr>
    </w:div>
    <w:div w:id="1578324771">
      <w:bodyDiv w:val="1"/>
      <w:marLeft w:val="0"/>
      <w:marRight w:val="0"/>
      <w:marTop w:val="0"/>
      <w:marBottom w:val="0"/>
      <w:divBdr>
        <w:top w:val="none" w:sz="0" w:space="0" w:color="auto"/>
        <w:left w:val="none" w:sz="0" w:space="0" w:color="auto"/>
        <w:bottom w:val="none" w:sz="0" w:space="0" w:color="auto"/>
        <w:right w:val="none" w:sz="0" w:space="0" w:color="auto"/>
      </w:divBdr>
    </w:div>
    <w:div w:id="1792557493">
      <w:bodyDiv w:val="1"/>
      <w:marLeft w:val="0"/>
      <w:marRight w:val="0"/>
      <w:marTop w:val="0"/>
      <w:marBottom w:val="0"/>
      <w:divBdr>
        <w:top w:val="none" w:sz="0" w:space="0" w:color="auto"/>
        <w:left w:val="none" w:sz="0" w:space="0" w:color="auto"/>
        <w:bottom w:val="none" w:sz="0" w:space="0" w:color="auto"/>
        <w:right w:val="none" w:sz="0" w:space="0" w:color="auto"/>
      </w:divBdr>
    </w:div>
    <w:div w:id="1906068988">
      <w:bodyDiv w:val="1"/>
      <w:marLeft w:val="0"/>
      <w:marRight w:val="0"/>
      <w:marTop w:val="0"/>
      <w:marBottom w:val="0"/>
      <w:divBdr>
        <w:top w:val="none" w:sz="0" w:space="0" w:color="auto"/>
        <w:left w:val="none" w:sz="0" w:space="0" w:color="auto"/>
        <w:bottom w:val="none" w:sz="0" w:space="0" w:color="auto"/>
        <w:right w:val="none" w:sz="0" w:space="0" w:color="auto"/>
      </w:divBdr>
    </w:div>
    <w:div w:id="2034962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ca.org.uk/publication/research/rates-return-fca-prescribed-projections.pdf" TargetMode="External"/><Relationship Id="rId18" Type="http://schemas.openxmlformats.org/officeDocument/2006/relationships/hyperlink" Target="https://rentcheck.landbay.co.uk/wp-content/uploads/2017/12/7863_Landbay_NRR_2017_FINAL-1.pdf" TargetMode="External"/><Relationship Id="rId26" Type="http://schemas.openxmlformats.org/officeDocument/2006/relationships/hyperlink" Target="http://citeseerx.ist.psu.edu/viewdoc/download?doi=10.1.1.476.814&amp;rep=rep1&amp;type=pdf" TargetMode="External"/><Relationship Id="rId39" Type="http://schemas.openxmlformats.org/officeDocument/2006/relationships/image" Target="media/image10.jpeg"/><Relationship Id="rId21" Type="http://schemas.openxmlformats.org/officeDocument/2006/relationships/hyperlink" Target="https://www.moneymarketing.co.uk/issues/23-june-2016/46-paul-lewis/" TargetMode="External"/><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ntent.knightfrank.com/research/367/documents/en/uk-housing-market-forecast-may-2018-5544.pdf" TargetMode="External"/><Relationship Id="rId29" Type="http://schemas.openxmlformats.org/officeDocument/2006/relationships/hyperlink" Target="https://www.ons.gov.uk/economy/inflationandpriceindices/timeseries/d7g7/mm23" TargetMode="External"/><Relationship Id="rId11" Type="http://schemas.openxmlformats.org/officeDocument/2006/relationships/hyperlink" Target="https://professionaladviser.com/digital_assets/8871/Paul_Cox_Report.pdf" TargetMode="External"/><Relationship Id="rId24" Type="http://schemas.openxmlformats.org/officeDocument/2006/relationships/hyperlink" Target="http://positivemoney.org/issues/house-prices/"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inflationmatters.com/much-cpi-underestimates-inflation/" TargetMode="External"/><Relationship Id="rId23" Type="http://schemas.openxmlformats.org/officeDocument/2006/relationships/hyperlink" Target="https://www.ons.gov.uk/employmentandlabourmarket/peopleinwork/earningsandworkinghours/timeseries/kac3/lms" TargetMode="External"/><Relationship Id="rId28" Type="http://schemas.openxmlformats.org/officeDocument/2006/relationships/hyperlink" Target="https://www.ons.gov.uk/economy/inflationandpriceindices/timeseries/czbh/mm23" TargetMode="Externa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hyperlink" Target="https://www.allocationblog.com/content/.../3/.../Equity-Gilt-Study-2016.compressed.pdf" TargetMode="External"/><Relationship Id="rId19" Type="http://schemas.openxmlformats.org/officeDocument/2006/relationships/hyperlink" Target="http://landregistry.data.gov.uk/app/ukhpi/browse?from=1997-01-01&amp;location=http%3A%2F%2Flandregistry.data.gov.uk%2Fid%2Fregion%2Funited-kingdom&amp;to=2017-12-01" TargetMode="External"/><Relationship Id="rId31" Type="http://schemas.openxmlformats.org/officeDocument/2006/relationships/image" Target="media/image3.png"/><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researchbriefings.files.parliament.uk/documents/CBP-7671/CBP-7671.pdf" TargetMode="External"/><Relationship Id="rId22" Type="http://schemas.openxmlformats.org/officeDocument/2006/relationships/hyperlink" Target="https://www.ons.gov.uk/peoplepopulationandcommunity/birthsdeathsandmarriages/lifeexpectancies/articles/howlongwillmypensionneedtolast/2015-03-27" TargetMode="External"/><Relationship Id="rId27" Type="http://schemas.openxmlformats.org/officeDocument/2006/relationships/hyperlink" Target="https://www.ukvalueinvestor.com/2018/06/uk-shares-uk-property-better-value.html/" TargetMode="External"/><Relationship Id="rId30" Type="http://schemas.openxmlformats.org/officeDocument/2006/relationships/image" Target="media/image2.png"/><Relationship Id="rId35" Type="http://schemas.openxmlformats.org/officeDocument/2006/relationships/image" Target="media/image6.jpe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finalytiq.co.uk/longevity/" TargetMode="External"/><Relationship Id="rId17" Type="http://schemas.openxmlformats.org/officeDocument/2006/relationships/hyperlink" Target="https://content.knightfrank.com/research/901/documents/en/2015-3170.pdf" TargetMode="External"/><Relationship Id="rId25" Type="http://schemas.openxmlformats.org/officeDocument/2006/relationships/hyperlink" Target="https://www.nationwide.co.uk/about/house-price-index/download-data"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obr.uk/docs/dlm_uploads/Working-paper-No2-The-long-run-difference-between-RPI-and-CPI-inflation.pdf"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support.planwithvoyant.com/hc/en-us/articles/211660743-State-Pension-in-future-val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outlines our capital market assumptions and preferences for cash flow planning.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0AED32-0CE5-1844-B5CF-0CC22738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26</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Capital Market Assumptions &amp; System Preferences</vt:lpstr>
    </vt:vector>
  </TitlesOfParts>
  <Company>Ovation Finance</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Market Assumptions &amp; System Preferences</dc:title>
  <dc:subject/>
  <dc:creator>Christopher Hindle</dc:creator>
  <cp:keywords/>
  <dc:description/>
  <cp:lastModifiedBy>christopher hindle</cp:lastModifiedBy>
  <cp:revision>33</cp:revision>
  <dcterms:created xsi:type="dcterms:W3CDTF">2018-07-20T21:05:00Z</dcterms:created>
  <dcterms:modified xsi:type="dcterms:W3CDTF">2020-05-10T18:55:00Z</dcterms:modified>
</cp:coreProperties>
</file>