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9AC" w:rsidRDefault="004671F8">
      <w:pPr>
        <w:pStyle w:val="Heading1"/>
        <w:pBdr>
          <w:bottom w:val="single" w:sz="12" w:space="0" w:color="00B0F0"/>
        </w:pBdr>
        <w:spacing w:before="100" w:beforeAutospacing="1" w:after="100" w:afterAutospacing="1"/>
      </w:pPr>
      <w:bookmarkStart w:id="0" w:name="_Toc0000000004"/>
      <w:bookmarkStart w:id="1" w:name="_GoBack"/>
      <w:bookmarkEnd w:id="1"/>
      <w:r>
        <w:rPr>
          <w:lang w:val="en-GB" w:eastAsia="en-GB"/>
        </w:rPr>
        <w:t>New Investment Recommendation</w:t>
      </w:r>
      <w:bookmarkEnd w:id="0"/>
    </w:p>
    <w:p w:rsidR="00E579AC" w:rsidRDefault="004671F8">
      <w:pPr>
        <w:pStyle w:val="NormalWeb"/>
        <w:spacing w:before="100" w:beforeAutospacing="1" w:after="100" w:afterAutospacing="1"/>
        <w:jc w:val="both"/>
      </w:pPr>
      <w:r>
        <w:rPr>
          <w:lang w:val="en-GB" w:eastAsia="en-GB"/>
        </w:rPr>
        <w:t>My recommendations are summarised below.</w:t>
      </w:r>
    </w:p>
    <w:tbl>
      <w:tblPr>
        <w:tblStyle w:val="TableGrid"/>
        <w:tblW w:w="5000" w:type="pct"/>
        <w:tblBorders>
          <w:top w:val="single" w:sz="6" w:space="0" w:color="FFFFFF"/>
          <w:left w:val="single" w:sz="6" w:space="0" w:color="FFFFFF"/>
          <w:bottom w:val="single" w:sz="6" w:space="0" w:color="FFFFFF"/>
          <w:right w:val="single" w:sz="6" w:space="0" w:color="FFFFFF"/>
          <w:insideH w:val="nil"/>
          <w:insideV w:val="nil"/>
        </w:tblBorders>
        <w:tblLayout w:type="fixed"/>
        <w:tblCellMar>
          <w:top w:w="17" w:type="dxa"/>
          <w:left w:w="17" w:type="dxa"/>
          <w:bottom w:w="17" w:type="dxa"/>
          <w:right w:w="17" w:type="dxa"/>
        </w:tblCellMar>
        <w:tblLook w:val="04A0" w:firstRow="1" w:lastRow="0" w:firstColumn="1" w:lastColumn="0" w:noHBand="0" w:noVBand="1"/>
      </w:tblPr>
      <w:tblGrid>
        <w:gridCol w:w="1548"/>
        <w:gridCol w:w="1548"/>
        <w:gridCol w:w="1547"/>
        <w:gridCol w:w="1547"/>
        <w:gridCol w:w="1547"/>
        <w:gridCol w:w="1547"/>
      </w:tblGrid>
      <w:tr w:rsidR="00E579A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Owner</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Lump Sum Investment £</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Transfer Lump Sum Investment £</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Monthly Saving £</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Simon</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£20,000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£50,000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Susan</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£14,000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£500</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Joint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General Investment Account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£90,000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r>
    </w:tbl>
    <w:p w:rsidR="00E579AC" w:rsidRDefault="004671F8">
      <w:pPr>
        <w:pStyle w:val="Heading2"/>
        <w:pBdr>
          <w:bottom w:val="nil"/>
        </w:pBdr>
        <w:spacing w:before="100" w:beforeAutospacing="1" w:after="100" w:afterAutospacing="1"/>
      </w:pPr>
      <w:r>
        <w:rPr>
          <w:lang w:val="en-GB" w:eastAsia="en-GB"/>
        </w:rPr>
        <w:t>Summary of plan charges</w:t>
      </w:r>
    </w:p>
    <w:p w:rsidR="00E579AC" w:rsidRDefault="004671F8">
      <w:pPr>
        <w:pStyle w:val="Heading3"/>
        <w:pBdr>
          <w:bottom w:val="nil"/>
        </w:pBdr>
        <w:spacing w:before="100" w:beforeAutospacing="1" w:after="100" w:afterAutospacing="1"/>
        <w:rPr>
          <w:bCs w:val="0"/>
        </w:rPr>
      </w:pPr>
      <w:r>
        <w:rPr>
          <w:bCs w:val="0"/>
          <w:lang w:val="en-GB" w:eastAsia="en-GB"/>
        </w:rPr>
        <w:t>Initial one-off charges</w:t>
      </w:r>
    </w:p>
    <w:tbl>
      <w:tblPr>
        <w:tblStyle w:val="TableGrid"/>
        <w:tblW w:w="5000" w:type="pct"/>
        <w:tblBorders>
          <w:top w:val="single" w:sz="6" w:space="0" w:color="FFFFFF"/>
          <w:left w:val="single" w:sz="6" w:space="0" w:color="FFFFFF"/>
          <w:bottom w:val="single" w:sz="6" w:space="0" w:color="FFFFFF"/>
          <w:right w:val="single" w:sz="6" w:space="0" w:color="FFFFFF"/>
          <w:insideH w:val="nil"/>
          <w:insideV w:val="nil"/>
        </w:tblBorders>
        <w:tblLayout w:type="fixed"/>
        <w:tblCellMar>
          <w:top w:w="17" w:type="dxa"/>
          <w:left w:w="17" w:type="dxa"/>
          <w:bottom w:w="17" w:type="dxa"/>
          <w:right w:w="17" w:type="dxa"/>
        </w:tblCellMar>
        <w:tblLook w:val="04A0" w:firstRow="1" w:lastRow="0" w:firstColumn="1" w:lastColumn="0" w:noHBand="0" w:noVBand="1"/>
      </w:tblPr>
      <w:tblGrid>
        <w:gridCol w:w="1328"/>
        <w:gridCol w:w="2208"/>
        <w:gridCol w:w="1420"/>
        <w:gridCol w:w="1274"/>
        <w:gridCol w:w="1420"/>
        <w:gridCol w:w="709"/>
        <w:gridCol w:w="925"/>
      </w:tblGrid>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Ownership</w:t>
            </w:r>
          </w:p>
        </w:tc>
        <w:tc>
          <w:tcPr>
            <w:tcW w:w="1189"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76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686"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 xml:space="preserve">Platform </w:t>
            </w:r>
            <w:r w:rsidR="00923CBF">
              <w:rPr>
                <w:rFonts w:ascii="Arial Narrow" w:eastAsia="Arial Narrow" w:hAnsi="Arial Narrow" w:cs="Arial Narrow"/>
                <w:b/>
                <w:bCs/>
                <w:color w:val="FFFFFF"/>
                <w:sz w:val="20"/>
                <w:lang w:val="en-GB" w:eastAsia="en-GB"/>
              </w:rPr>
              <w:t xml:space="preserve">Service </w:t>
            </w:r>
            <w:r>
              <w:rPr>
                <w:rFonts w:ascii="Arial Narrow" w:eastAsia="Arial Narrow" w:hAnsi="Arial Narrow" w:cs="Arial Narrow"/>
                <w:b/>
                <w:bCs/>
                <w:color w:val="FFFFFF"/>
                <w:sz w:val="20"/>
                <w:lang w:val="en-GB" w:eastAsia="en-GB"/>
              </w:rPr>
              <w:t>Charge</w:t>
            </w:r>
          </w:p>
        </w:tc>
        <w:tc>
          <w:tcPr>
            <w:tcW w:w="76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Adviser Service Charge</w:t>
            </w:r>
          </w:p>
        </w:tc>
        <w:tc>
          <w:tcPr>
            <w:tcW w:w="880" w:type="pct"/>
            <w:gridSpan w:val="2"/>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Aggregated Total Initial Charge in Year 1</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Simon</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£ 1,400.00</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Susan</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£ 280.00</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Joint</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General Investment Account</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£ 1,800.00</w:t>
            </w:r>
          </w:p>
        </w:tc>
      </w:tr>
      <w:tr w:rsidR="004671F8" w:rsidTr="00923CBF">
        <w:tc>
          <w:tcPr>
            <w:tcW w:w="4502" w:type="pct"/>
            <w:gridSpan w:val="6"/>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4671F8" w:rsidRPr="004671F8" w:rsidRDefault="004671F8">
            <w:pPr>
              <w:pStyle w:val="HTMLPreformatted"/>
              <w:shd w:val="clear" w:color="auto" w:fill="EDEDED"/>
              <w:rPr>
                <w:rFonts w:ascii="Arial Narrow" w:eastAsia="Arial Narrow" w:hAnsi="Arial Narrow" w:cs="Arial Narrow"/>
                <w:b/>
                <w:color w:val="656565"/>
                <w:shd w:val="clear" w:color="auto" w:fill="EDEDED"/>
                <w:lang w:val="en-GB" w:eastAsia="en-GB"/>
              </w:rPr>
            </w:pPr>
            <w:r w:rsidRPr="004671F8">
              <w:rPr>
                <w:rFonts w:ascii="Arial Narrow" w:eastAsia="Arial Narrow" w:hAnsi="Arial Narrow" w:cs="Arial Narrow"/>
                <w:b/>
                <w:color w:val="656565"/>
                <w:shd w:val="clear" w:color="auto" w:fill="EDEDED"/>
                <w:lang w:val="en-GB" w:eastAsia="en-GB"/>
              </w:rPr>
              <w:t>Total</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4671F8" w:rsidRPr="004671F8" w:rsidRDefault="004671F8">
            <w:pPr>
              <w:pStyle w:val="HTMLPreformatted"/>
              <w:shd w:val="clear" w:color="auto" w:fill="EDEDED"/>
              <w:rPr>
                <w:rFonts w:ascii="Arial Narrow" w:eastAsia="Arial Narrow" w:hAnsi="Arial Narrow" w:cs="Arial Narrow"/>
                <w:b/>
                <w:color w:val="656565"/>
                <w:shd w:val="clear" w:color="auto" w:fill="EDEDED"/>
                <w:lang w:val="en-GB" w:eastAsia="en-GB"/>
              </w:rPr>
            </w:pPr>
            <w:r w:rsidRPr="004671F8">
              <w:rPr>
                <w:rFonts w:ascii="Arial Narrow" w:eastAsia="Arial Narrow" w:hAnsi="Arial Narrow" w:cs="Arial Narrow"/>
                <w:b/>
                <w:color w:val="656565"/>
                <w:shd w:val="clear" w:color="auto" w:fill="EDEDED"/>
                <w:lang w:val="en-GB" w:eastAsia="en-GB"/>
              </w:rPr>
              <w:t>£3,480</w:t>
            </w:r>
          </w:p>
        </w:tc>
      </w:tr>
    </w:tbl>
    <w:p w:rsidR="00E579AC" w:rsidRDefault="004671F8">
      <w:pPr>
        <w:pStyle w:val="Heading3"/>
        <w:pBdr>
          <w:bottom w:val="nil"/>
        </w:pBdr>
        <w:spacing w:before="100" w:beforeAutospacing="1" w:after="100" w:afterAutospacing="1"/>
        <w:rPr>
          <w:bCs w:val="0"/>
        </w:rPr>
      </w:pPr>
      <w:r>
        <w:rPr>
          <w:bCs w:val="0"/>
          <w:lang w:val="en-GB" w:eastAsia="en-GB"/>
        </w:rPr>
        <w:t>Recurring annual charges</w:t>
      </w:r>
    </w:p>
    <w:tbl>
      <w:tblPr>
        <w:tblStyle w:val="TableGrid"/>
        <w:tblW w:w="0" w:type="auto"/>
        <w:tblBorders>
          <w:top w:val="single" w:sz="6" w:space="0" w:color="FFFFFF"/>
          <w:left w:val="single" w:sz="6" w:space="0" w:color="FFFFFF"/>
          <w:bottom w:val="single" w:sz="6" w:space="0" w:color="FFFFFF"/>
          <w:right w:val="single" w:sz="6" w:space="0" w:color="FFFFFF"/>
          <w:insideH w:val="nil"/>
          <w:insideV w:val="nil"/>
        </w:tblBorders>
        <w:tblCellMar>
          <w:top w:w="17" w:type="dxa"/>
          <w:left w:w="17" w:type="dxa"/>
          <w:bottom w:w="17" w:type="dxa"/>
          <w:right w:w="17" w:type="dxa"/>
        </w:tblCellMar>
        <w:tblLook w:val="04A0" w:firstRow="1" w:lastRow="0" w:firstColumn="1" w:lastColumn="0" w:noHBand="0" w:noVBand="1"/>
      </w:tblPr>
      <w:tblGrid>
        <w:gridCol w:w="908"/>
        <w:gridCol w:w="1090"/>
        <w:gridCol w:w="819"/>
        <w:gridCol w:w="896"/>
        <w:gridCol w:w="806"/>
        <w:gridCol w:w="1271"/>
        <w:gridCol w:w="1086"/>
        <w:gridCol w:w="783"/>
        <w:gridCol w:w="643"/>
        <w:gridCol w:w="982"/>
      </w:tblGrid>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Ownership</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Platform Service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Pr>
          <w:p w:rsidR="00923CBF" w:rsidRDefault="00923CBF">
            <w:pPr>
              <w:spacing w:before="100" w:beforeAutospacing="1" w:after="100" w:afterAutospacing="1"/>
              <w:rPr>
                <w:rFonts w:ascii="Arial Narrow" w:eastAsia="Arial Narrow" w:hAnsi="Arial Narrow" w:cs="Arial Narrow"/>
                <w:b/>
                <w:bCs/>
                <w:color w:val="FFFFFF"/>
                <w:sz w:val="20"/>
                <w:lang w:val="en-GB" w:eastAsia="en-GB"/>
              </w:rPr>
            </w:pPr>
            <w:r>
              <w:rPr>
                <w:rFonts w:ascii="Arial Narrow" w:eastAsia="Arial Narrow" w:hAnsi="Arial Narrow" w:cs="Arial Narrow"/>
                <w:b/>
                <w:bCs/>
                <w:color w:val="FFFFFF"/>
                <w:sz w:val="20"/>
                <w:lang w:val="en-GB" w:eastAsia="en-GB"/>
              </w:rPr>
              <w:t>Adviser Service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Investment Management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Transaction Charges</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Other Charges</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Aggregated Total Recurring Charge in Year 1</w:t>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Simon</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Stocks and Shares ISA</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£ 1,269.10</w:t>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Susan</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Stocks and Shares ISA</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£ 364.82</w:t>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Joint</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General Investment Account</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£ 1,631.70</w:t>
            </w:r>
          </w:p>
        </w:tc>
      </w:tr>
      <w:tr w:rsidR="00923CBF" w:rsidTr="001E5B13">
        <w:tc>
          <w:tcPr>
            <w:tcW w:w="0" w:type="auto"/>
            <w:gridSpan w:val="9"/>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lang w:val="en-GB" w:eastAsia="en-GB"/>
              </w:rPr>
            </w:pPr>
            <w:r w:rsidRPr="00923CBF">
              <w:rPr>
                <w:rFonts w:ascii="Arial Narrow" w:eastAsia="Arial Narrow" w:hAnsi="Arial Narrow" w:cs="Arial Narrow"/>
                <w:b/>
                <w:color w:val="656565"/>
                <w:lang w:val="en-GB" w:eastAsia="en-GB"/>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Pr="00923CBF" w:rsidRDefault="00923CBF" w:rsidP="00923CBF">
            <w:pPr>
              <w:pStyle w:val="HTMLPreformatted"/>
              <w:shd w:val="clear" w:color="auto" w:fill="EDEDED"/>
              <w:rPr>
                <w:rFonts w:ascii="Arial Narrow" w:eastAsia="Arial Narrow" w:hAnsi="Arial Narrow" w:cs="Arial Narrow"/>
                <w:b/>
                <w:color w:val="656565"/>
                <w:shd w:val="clear" w:color="auto" w:fill="EDEDED"/>
                <w:lang w:val="en-GB" w:eastAsia="en-GB"/>
              </w:rPr>
            </w:pPr>
            <w:r w:rsidRPr="00923CBF">
              <w:rPr>
                <w:rFonts w:ascii="Arial Narrow" w:eastAsia="Arial Narrow" w:hAnsi="Arial Narrow" w:cs="Arial Narrow"/>
                <w:b/>
                <w:color w:val="656565"/>
                <w:shd w:val="clear" w:color="auto" w:fill="EDEDED"/>
                <w:lang w:val="en-GB" w:eastAsia="en-GB"/>
              </w:rPr>
              <w:t>£3,265.62</w:t>
            </w:r>
          </w:p>
        </w:tc>
      </w:tr>
    </w:tbl>
    <w:p w:rsidR="004671F8" w:rsidRDefault="004671F8" w:rsidP="004671F8">
      <w:pPr>
        <w:pStyle w:val="NormalWeb"/>
      </w:pPr>
      <w:bookmarkStart w:id="2" w:name="_Hlk507746447"/>
    </w:p>
    <w:p w:rsidR="004671F8" w:rsidRPr="004671F8" w:rsidRDefault="004671F8" w:rsidP="004671F8">
      <w:pPr>
        <w:pStyle w:val="NormalWeb"/>
      </w:pPr>
      <w:r w:rsidRPr="004671F8">
        <w:t xml:space="preserve">Both the </w:t>
      </w:r>
      <w:r w:rsidRPr="004671F8">
        <w:rPr>
          <w:i/>
        </w:rPr>
        <w:t>aggregated total initial charge</w:t>
      </w:r>
      <w:r w:rsidRPr="004671F8">
        <w:t xml:space="preserve"> and the </w:t>
      </w:r>
      <w:r w:rsidRPr="004671F8">
        <w:rPr>
          <w:i/>
        </w:rPr>
        <w:t>aggregated total recurring charge</w:t>
      </w:r>
      <w:r w:rsidRPr="004671F8">
        <w:t xml:space="preserve"> shown in monetary terms are based on the total amount being invested into the recommended plan in the first year of investment. </w:t>
      </w:r>
      <w:bookmarkStart w:id="3" w:name="_Hlk507703167"/>
    </w:p>
    <w:bookmarkEnd w:id="2"/>
    <w:bookmarkEnd w:id="3"/>
    <w:p w:rsidR="004671F8" w:rsidRDefault="004671F8" w:rsidP="004671F8">
      <w:pPr>
        <w:pStyle w:val="NormalWeb"/>
      </w:pPr>
    </w:p>
    <w:p w:rsidR="004671F8" w:rsidRPr="004671F8" w:rsidRDefault="004671F8" w:rsidP="004671F8">
      <w:pPr>
        <w:pStyle w:val="NormalWeb"/>
      </w:pPr>
      <w:r w:rsidRPr="004671F8">
        <w:t xml:space="preserve">The </w:t>
      </w:r>
      <w:r w:rsidRPr="004671F8">
        <w:rPr>
          <w:i/>
        </w:rPr>
        <w:t>aggregated total recurring charge</w:t>
      </w:r>
      <w:r w:rsidRPr="004671F8">
        <w:t xml:space="preserve"> shown in monetary terms assumes any initial charges are deducted upfront. It provides an indication of the charges that would be deducted from the plan during the first year of investment if there was no investment growth. In reality, this charge will be higher or lower than shown depending on the performance of the underlying investment. Your personal illustration contains further information regarding the effect the overall costs and charges will have your investment returns.</w:t>
      </w:r>
    </w:p>
    <w:p w:rsidR="004671F8" w:rsidRDefault="004671F8">
      <w:pPr>
        <w:pStyle w:val="NormalWeb"/>
        <w:spacing w:before="100" w:beforeAutospacing="1" w:after="100" w:afterAutospacing="1"/>
        <w:jc w:val="both"/>
        <w:rPr>
          <w:sz w:val="18"/>
          <w:lang w:val="en-GB" w:eastAsia="en-GB"/>
        </w:rPr>
      </w:pPr>
    </w:p>
    <w:sectPr w:rsidR="004671F8">
      <w:headerReference w:type="default" r:id="rId7"/>
      <w:footerReference w:type="default" r:id="rId8"/>
      <w:pgSz w:w="11900" w:h="16840"/>
      <w:pgMar w:top="1300" w:right="1300" w:bottom="1300" w:left="13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9" w:rsidRDefault="00C33EF9">
      <w:r>
        <w:separator/>
      </w:r>
    </w:p>
  </w:endnote>
  <w:endnote w:type="continuationSeparator" w:id="0">
    <w:p w:rsidR="00C33EF9" w:rsidRDefault="00C3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F8" w:rsidRDefault="004671F8">
    <w:pPr>
      <w:pBdr>
        <w:top w:val="single" w:sz="8" w:space="0" w:color="656565"/>
      </w:pBdr>
      <w:spacing w:before="120"/>
    </w:pPr>
  </w:p>
  <w:p w:rsidR="004671F8" w:rsidRDefault="004671F8">
    <w:pPr>
      <w:jc w:val="center"/>
    </w:pPr>
    <w:r>
      <w:rPr>
        <w:rFonts w:ascii="Arial Narrow" w:eastAsia="Arial Narrow" w:hAnsi="Arial Narrow" w:cs="Arial Narrow"/>
        <w:color w:val="656565"/>
        <w:sz w:val="14"/>
      </w:rPr>
      <w:fldChar w:fldCharType="begin"/>
    </w:r>
    <w:r>
      <w:rPr>
        <w:rFonts w:ascii="Arial Narrow" w:eastAsia="Arial Narrow" w:hAnsi="Arial Narrow" w:cs="Arial Narrow"/>
        <w:color w:val="656565"/>
        <w:sz w:val="14"/>
      </w:rPr>
      <w:instrText>PAGE PageNumber</w:instrText>
    </w:r>
    <w:r>
      <w:rPr>
        <w:rFonts w:ascii="Arial Narrow" w:eastAsia="Arial Narrow" w:hAnsi="Arial Narrow" w:cs="Arial Narrow"/>
        <w:color w:val="656565"/>
        <w:sz w:val="14"/>
      </w:rPr>
      <w:fldChar w:fldCharType="separate"/>
    </w:r>
    <w:r w:rsidR="00923CBF">
      <w:rPr>
        <w:rFonts w:ascii="Arial Narrow" w:eastAsia="Arial Narrow" w:hAnsi="Arial Narrow" w:cs="Arial Narrow"/>
        <w:noProof/>
        <w:color w:val="656565"/>
        <w:sz w:val="14"/>
      </w:rPr>
      <w:t>2</w:t>
    </w:r>
    <w:r>
      <w:rPr>
        <w:rFonts w:ascii="Arial Narrow" w:eastAsia="Arial Narrow" w:hAnsi="Arial Narrow" w:cs="Arial Narrow"/>
        <w:color w:val="656565"/>
        <w:sz w:val="14"/>
      </w:rPr>
      <w:fldChar w:fldCharType="end"/>
    </w:r>
  </w:p>
  <w:p w:rsidR="004671F8" w:rsidRDefault="004671F8">
    <w:pPr>
      <w:tabs>
        <w:tab w:val="right" w:pos="9300"/>
      </w:tabs>
    </w:pPr>
    <w:r>
      <w:rPr>
        <w:rFonts w:ascii="Arial Narrow" w:eastAsia="Arial Narrow" w:hAnsi="Arial Narrow" w:cs="Arial Narrow"/>
        <w:b/>
        <w:color w:val="656565"/>
        <w:sz w:val="14"/>
      </w:rPr>
      <w:t xml:space="preserve">Prepared For: </w:t>
    </w:r>
    <w:r>
      <w:rPr>
        <w:rFonts w:ascii="Arial Narrow" w:eastAsia="Arial Narrow" w:hAnsi="Arial Narrow" w:cs="Arial Narrow"/>
        <w:color w:val="656565"/>
        <w:sz w:val="14"/>
      </w:rPr>
      <w:t>Mr Simon Sample and Mrs Susan Sample</w:t>
    </w:r>
    <w:r>
      <w:tab/>
    </w:r>
    <w:r>
      <w:rPr>
        <w:rFonts w:ascii="Arial Narrow" w:eastAsia="Arial Narrow" w:hAnsi="Arial Narrow" w:cs="Arial Narrow"/>
        <w:b/>
        <w:color w:val="656565"/>
        <w:sz w:val="14"/>
      </w:rPr>
      <w:t xml:space="preserve">Prepared by: </w:t>
    </w:r>
    <w:r>
      <w:rPr>
        <w:rFonts w:ascii="Arial Narrow" w:eastAsia="Arial Narrow" w:hAnsi="Arial Narrow" w:cs="Arial Narrow"/>
        <w:color w:val="656565"/>
        <w:sz w:val="14"/>
      </w:rPr>
      <w:t>Ed Evans of Acme Wealth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9" w:rsidRDefault="00C33EF9">
      <w:r>
        <w:separator/>
      </w:r>
    </w:p>
  </w:footnote>
  <w:footnote w:type="continuationSeparator" w:id="0">
    <w:p w:rsidR="00C33EF9" w:rsidRDefault="00C3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F8" w:rsidRDefault="004671F8">
    <w:pPr>
      <w:jc w:val="center"/>
    </w:pPr>
    <w:r>
      <w:rPr>
        <w:rFonts w:ascii="Arial Narrow" w:eastAsia="Arial Narrow" w:hAnsi="Arial Narrow" w:cs="Arial Narrow"/>
        <w:color w:val="656565"/>
        <w:sz w:val="18"/>
      </w:rPr>
      <w:t>Suitability Report - 06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4F8926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49188B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76286ED4"/>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0000004"/>
    <w:multiLevelType w:val="multilevel"/>
    <w:tmpl w:val="19841B5E"/>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3294A15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0000006"/>
    <w:multiLevelType w:val="multilevel"/>
    <w:tmpl w:val="845EAFB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0000007"/>
    <w:multiLevelType w:val="multilevel"/>
    <w:tmpl w:val="921A73A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00000008"/>
    <w:multiLevelType w:val="multilevel"/>
    <w:tmpl w:val="EA62673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0000009"/>
    <w:multiLevelType w:val="multilevel"/>
    <w:tmpl w:val="41F25F2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0000000A"/>
    <w:multiLevelType w:val="multilevel"/>
    <w:tmpl w:val="DAE4FA1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0000000B"/>
    <w:multiLevelType w:val="multilevel"/>
    <w:tmpl w:val="BD7A8C6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0000000C"/>
    <w:multiLevelType w:val="multilevel"/>
    <w:tmpl w:val="5956A14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0000000D"/>
    <w:multiLevelType w:val="multilevel"/>
    <w:tmpl w:val="9CD885E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0000000E"/>
    <w:multiLevelType w:val="multilevel"/>
    <w:tmpl w:val="FCEED8C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0000000F"/>
    <w:multiLevelType w:val="multilevel"/>
    <w:tmpl w:val="0096DFB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00000010"/>
    <w:multiLevelType w:val="multilevel"/>
    <w:tmpl w:val="6A026D5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00000011"/>
    <w:multiLevelType w:val="multilevel"/>
    <w:tmpl w:val="A0BA786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00000012"/>
    <w:multiLevelType w:val="multilevel"/>
    <w:tmpl w:val="327C1D3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00000013"/>
    <w:multiLevelType w:val="multilevel"/>
    <w:tmpl w:val="8E38973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00000014"/>
    <w:multiLevelType w:val="multilevel"/>
    <w:tmpl w:val="CE9EFDA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00000015"/>
    <w:multiLevelType w:val="multilevel"/>
    <w:tmpl w:val="948E86C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00000016"/>
    <w:multiLevelType w:val="multilevel"/>
    <w:tmpl w:val="9FF6388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00000017"/>
    <w:multiLevelType w:val="multilevel"/>
    <w:tmpl w:val="F474A14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00000018"/>
    <w:multiLevelType w:val="multilevel"/>
    <w:tmpl w:val="F6081B4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00000019"/>
    <w:multiLevelType w:val="multilevel"/>
    <w:tmpl w:val="E0001F8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9AC"/>
    <w:rsid w:val="004671F8"/>
    <w:rsid w:val="00792B1E"/>
    <w:rsid w:val="00923CBF"/>
    <w:rsid w:val="00C33EF9"/>
    <w:rsid w:val="00D2539D"/>
    <w:rsid w:val="00E579AC"/>
    <w:rsid w:val="00FE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57DFA-3CB7-403F-B95D-561F57D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uk-UA"/>
    </w:rPr>
  </w:style>
  <w:style w:type="paragraph" w:styleId="Heading1">
    <w:name w:val="heading 1"/>
    <w:basedOn w:val="Normal"/>
    <w:qFormat/>
    <w:pPr>
      <w:spacing w:before="240" w:after="60"/>
      <w:outlineLvl w:val="0"/>
    </w:pPr>
    <w:rPr>
      <w:rFonts w:ascii="Verdana" w:eastAsia="Verdana" w:hAnsi="Verdana" w:cs="Verdana"/>
      <w:b/>
      <w:bCs/>
      <w:color w:val="00B0F0"/>
      <w:kern w:val="32"/>
      <w:sz w:val="28"/>
      <w:szCs w:val="32"/>
    </w:rPr>
  </w:style>
  <w:style w:type="paragraph" w:styleId="Heading2">
    <w:name w:val="heading 2"/>
    <w:basedOn w:val="Normal"/>
    <w:qFormat/>
    <w:pPr>
      <w:spacing w:before="240" w:after="60"/>
      <w:outlineLvl w:val="1"/>
    </w:pPr>
    <w:rPr>
      <w:rFonts w:ascii="Arial Narrow" w:eastAsia="Arial Narrow" w:hAnsi="Arial Narrow" w:cs="Arial Narrow"/>
      <w:b/>
      <w:bCs/>
      <w:color w:val="404348"/>
      <w:szCs w:val="28"/>
    </w:rPr>
  </w:style>
  <w:style w:type="paragraph" w:styleId="Heading3">
    <w:name w:val="heading 3"/>
    <w:basedOn w:val="Normal"/>
    <w:qFormat/>
    <w:pPr>
      <w:spacing w:before="240" w:after="60"/>
      <w:outlineLvl w:val="2"/>
    </w:pPr>
    <w:rPr>
      <w:rFonts w:ascii="Arial Narrow" w:eastAsia="Arial Narrow" w:hAnsi="Arial Narrow" w:cs="Arial Narrow"/>
      <w:bCs/>
      <w:color w:val="656565"/>
      <w:sz w:val="22"/>
      <w:szCs w:val="26"/>
      <w:u w:val="single"/>
    </w:rPr>
  </w:style>
  <w:style w:type="paragraph" w:styleId="Heading4">
    <w:name w:val="heading 4"/>
    <w:basedOn w:val="Normal"/>
    <w:qFormat/>
    <w:pPr>
      <w:spacing w:before="240" w:after="60"/>
      <w:outlineLvl w:val="3"/>
    </w:pPr>
    <w:rPr>
      <w:rFonts w:ascii="Verdana" w:eastAsia="Verdana" w:hAnsi="Verdana" w:cs="Verdana"/>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rPr>
      <w:rFonts w:ascii="Arial Narrow" w:eastAsia="Arial Narrow" w:hAnsi="Arial Narrow" w:cs="Arial Narrow"/>
      <w:color w:val="656565"/>
      <w:sz w:val="22"/>
    </w:rPr>
  </w:style>
  <w:style w:type="paragraph" w:styleId="HTMLPreformatted">
    <w:name w:val="HTML Preformatted"/>
    <w:basedOn w:val="Normal"/>
    <w:rPr>
      <w:rFonts w:ascii="Courier New" w:hAnsi="Courier New" w:cs="Courier New"/>
      <w:sz w:val="20"/>
      <w:szCs w:val="20"/>
    </w:rPr>
  </w:style>
  <w:style w:type="paragraph" w:styleId="TOC1">
    <w:name w:val="toc 1"/>
    <w:basedOn w:val="Normal"/>
    <w:rPr>
      <w:rFonts w:ascii="Arial Narrow" w:eastAsia="Arial Narrow" w:hAnsi="Arial Narrow" w:cs="Arial Narrow"/>
      <w:color w:val="656565"/>
      <w:sz w:val="22"/>
    </w:rPr>
  </w:style>
  <w:style w:type="paragraph" w:styleId="BalloonText">
    <w:name w:val="Balloon Text"/>
    <w:basedOn w:val="Normal"/>
    <w:link w:val="BalloonTextChar"/>
    <w:uiPriority w:val="99"/>
    <w:semiHidden/>
    <w:unhideWhenUsed/>
    <w:rsid w:val="0092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BF"/>
    <w:rPr>
      <w:rFonts w:ascii="Segoe UI" w:hAnsi="Segoe UI" w:cs="Segoe UI"/>
      <w:sz w:val="18"/>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Ed.Evans</dc:creator>
  <cp:lastModifiedBy>User</cp:lastModifiedBy>
  <cp:revision>2</cp:revision>
  <cp:lastPrinted>2018-03-06T17:07:00Z</cp:lastPrinted>
  <dcterms:created xsi:type="dcterms:W3CDTF">2018-03-06T21:25:00Z</dcterms:created>
  <dcterms:modified xsi:type="dcterms:W3CDTF">2018-03-06T21:25:00Z</dcterms:modified>
</cp:coreProperties>
</file>